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18"/>
        </w:rPr>
        <w:t>ACADÉMIE AFRICAINE DU CAPITAL HUMAIN &amp; DU LEADERSHIP (AACHL)</w:t>
      </w:r>
    </w:p>
    <w:p>
      <w:pPr>
        <w:jc w:val="center"/>
      </w:pPr>
      <w:r>
        <w:rPr>
          <w:b/>
          <w:sz w:val="44"/>
        </w:rPr>
        <w:t>MODULE 6 — INTÉGRATION &amp; TRANSFERT</w:t>
        <w:br/>
        <w:t>SUPPORT INDIVIDUEL — SÉQUENCE 5</w:t>
      </w:r>
    </w:p>
    <w:p>
      <w:pPr>
        <w:jc w:val="center"/>
      </w:pPr>
      <w:r>
        <w:rPr>
          <w:b/>
          <w:sz w:val="24"/>
        </w:rPr>
        <w:t>Organiser la Gouvernance, les Revues &amp; la Responsabilisation</w:t>
      </w:r>
    </w:p>
    <w:p>
      <w:pPr>
        <w:pStyle w:val="Heading1"/>
      </w:pPr>
      <w:r>
        <w:t>SÉQUENCE 5 — Organiser la Gouvernance, les Revues &amp; la Responsabilisation</w:t>
      </w:r>
    </w:p>
    <w:p>
      <w:r>
        <w:rPr>
          <w:b/>
        </w:rPr>
        <w:t>Créer le mécanisme qui transforme les décisions en exécution et les engagements en résultats</w:t>
      </w:r>
    </w:p>
    <w:p>
      <w:pPr>
        <w:pStyle w:val="Heading2"/>
      </w:pPr>
      <w:r>
        <w:t>Objectifs pédagogiques</w:t>
      </w:r>
    </w:p>
    <w:p>
      <w:pPr>
        <w:pStyle w:val="ListBullet"/>
      </w:pPr>
      <w:r>
        <w:t>Clarifier les rôles de pilotage, décision, réalisation et contribution.</w:t>
      </w:r>
    </w:p>
    <w:p>
      <w:pPr>
        <w:pStyle w:val="ListBullet"/>
      </w:pPr>
      <w:r>
        <w:t>Organiser des revues périodiques orientées action.</w:t>
      </w:r>
    </w:p>
    <w:p>
      <w:pPr>
        <w:pStyle w:val="ListBullet"/>
      </w:pPr>
      <w:r>
        <w:t>Formaliser les décisions et les arbitrages.</w:t>
      </w:r>
    </w:p>
    <w:p>
      <w:pPr>
        <w:pStyle w:val="ListBullet"/>
      </w:pPr>
      <w:r>
        <w:t>Renforcer la redevabilité et le suivi des engagements.</w:t>
      </w:r>
    </w:p>
    <w:p>
      <w:pPr>
        <w:pStyle w:val="Heading2"/>
      </w:pPr>
      <w:r>
        <w:t>1. Cours — Apports structurés</w:t>
      </w:r>
    </w:p>
    <w:p>
      <w:r>
        <w:rPr>
          <w:b/>
        </w:rPr>
        <w:t xml:space="preserve">Gouvernance : </w:t>
      </w:r>
      <w:r>
        <w:t>Elle précise qui décide, qui pilote, qui réalise, qui contribue et qui doit être informé.</w:t>
      </w:r>
    </w:p>
    <w:p>
      <w:r>
        <w:rPr>
          <w:b/>
        </w:rPr>
        <w:t xml:space="preserve">Revue de suivi : </w:t>
      </w:r>
      <w:r>
        <w:t>Une revue efficace examine les résultats, écarts, blocages, risques et décisions nécessaires plutôt que de se limiter à une présentation d’activités.</w:t>
      </w:r>
    </w:p>
    <w:p>
      <w:r>
        <w:rPr>
          <w:b/>
        </w:rPr>
        <w:t xml:space="preserve">Redevabilité : </w:t>
      </w:r>
      <w:r>
        <w:t>Chaque engagement doit pouvoir être relié à un responsable, une échéance, un livrable ou résultat et une prochaine date de revue.</w:t>
      </w:r>
    </w:p>
    <w:p>
      <w:r>
        <w:rPr>
          <w:b/>
        </w:rPr>
        <w:t xml:space="preserve">Raisonnement central : </w:t>
      </w:r>
      <w:r>
        <w:rPr>
          <w:b/>
        </w:rPr>
        <w:t>RESPONSABILITÉS → DONNÉES → REVUE → ÉCARTS → ARBITRAGES → DÉCISIONS → ENGAGEMENTS → SUIVI</w:t>
      </w:r>
    </w:p>
    <w:p>
      <w:pPr>
        <w:pStyle w:val="Heading2"/>
      </w:pPr>
      <w:r>
        <w:t>2. Cas pratique</w:t>
      </w:r>
    </w:p>
    <w:p>
      <w:r>
        <w:t>Un plan RH est validé par la Direction mais les réunions de suivi sont irrégulières. Les responsables présentent des activités sans données, les décisions ne sont pas consignées et les mêmes blocages réapparaissent chaque mois.</w:t>
      </w:r>
    </w:p>
    <w:p>
      <w:pPr>
        <w:pStyle w:val="ListNumber"/>
      </w:pPr>
      <w:r>
        <w:t>Quels éléments de gouvernance manquent ?</w:t>
      </w:r>
    </w:p>
    <w:p>
      <w:pPr>
        <w:pStyle w:val="ListNumber"/>
      </w:pPr>
      <w:r>
        <w:t>Quel ordre du jour proposer pour une revue de 60 minutes ?</w:t>
      </w:r>
    </w:p>
    <w:p>
      <w:pPr>
        <w:pStyle w:val="ListNumber"/>
      </w:pPr>
      <w:r>
        <w:t>Comment tracer les arbitrages et les engagements pris ?</w:t>
      </w:r>
    </w:p>
    <w:p>
      <w:pPr>
        <w:pStyle w:val="Heading2"/>
      </w:pPr>
      <w:r>
        <w:t>3. Exercice pratique</w:t>
      </w:r>
    </w:p>
    <w:p>
      <w:r>
        <w:t>Concevez la gouvernance de votre feuille de route : sponsor, pilote, responsables d’action, contributeurs, fréquence de revue, données attendues, règles d’escalade et registre de décisions.</w:t>
      </w:r>
    </w:p>
    <w:p>
      <w:pPr>
        <w:pStyle w:val="Heading2"/>
      </w:pPr>
      <w:r>
        <w:t>4. Mini-exercice</w:t>
      </w:r>
    </w:p>
    <w:p>
      <w:r>
        <w:t>Complétez une décision en indiquant : responsable, échéance, résultat attendu et date de revue.</w:t>
      </w:r>
    </w:p>
    <w:p>
      <w:pPr>
        <w:pStyle w:val="Heading2"/>
      </w:pPr>
      <w:r>
        <w:t>5. Outil professionnel</w:t>
      </w:r>
    </w:p>
    <w:p>
      <w:r>
        <w:t>Matrice de gouvernance + matrice RACI de mise en œuvre + canevas de revue périodique + registre décisions/actions.</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2017"/>
            <w:shd w:fill="E7E6E6"/>
            <w:vAlign w:val="center"/>
            <w:tcMar>
              <w:top w:w="90" w:type="dxa"/>
              <w:start w:w="90" w:type="dxa"/>
              <w:bottom w:w="90" w:type="dxa"/>
              <w:end w:w="90" w:type="dxa"/>
            </w:tcMar>
          </w:tcPr>
          <w:p>
            <w:r>
              <w:rPr>
                <w:b/>
              </w:rPr>
              <w:t>Décision / action</w:t>
            </w:r>
          </w:p>
        </w:tc>
        <w:tc>
          <w:tcPr>
            <w:tcW w:type="dxa" w:w="2017"/>
            <w:shd w:fill="E7E6E6"/>
            <w:vAlign w:val="center"/>
            <w:tcMar>
              <w:top w:w="90" w:type="dxa"/>
              <w:start w:w="90" w:type="dxa"/>
              <w:bottom w:w="90" w:type="dxa"/>
              <w:end w:w="90" w:type="dxa"/>
            </w:tcMar>
          </w:tcPr>
          <w:p>
            <w:r>
              <w:rPr>
                <w:b/>
              </w:rPr>
              <w:t>Rôle responsable</w:t>
            </w:r>
          </w:p>
        </w:tc>
        <w:tc>
          <w:tcPr>
            <w:tcW w:type="dxa" w:w="2017"/>
            <w:shd w:fill="E7E6E6"/>
            <w:vAlign w:val="center"/>
            <w:tcMar>
              <w:top w:w="90" w:type="dxa"/>
              <w:start w:w="90" w:type="dxa"/>
              <w:bottom w:w="90" w:type="dxa"/>
              <w:end w:w="90" w:type="dxa"/>
            </w:tcMar>
          </w:tcPr>
          <w:p>
            <w:r>
              <w:rPr>
                <w:b/>
              </w:rPr>
              <w:t>Échéance</w:t>
            </w:r>
          </w:p>
        </w:tc>
        <w:tc>
          <w:tcPr>
            <w:tcW w:type="dxa" w:w="2017"/>
            <w:shd w:fill="E7E6E6"/>
            <w:vAlign w:val="center"/>
            <w:tcMar>
              <w:top w:w="90" w:type="dxa"/>
              <w:start w:w="90" w:type="dxa"/>
              <w:bottom w:w="90" w:type="dxa"/>
              <w:end w:w="90" w:type="dxa"/>
            </w:tcMar>
          </w:tcPr>
          <w:p>
            <w:r>
              <w:rPr>
                <w:b/>
              </w:rPr>
              <w:t>Preuve / résultat</w:t>
            </w:r>
          </w:p>
        </w:tc>
        <w:tc>
          <w:tcPr>
            <w:tcW w:type="dxa" w:w="2017"/>
            <w:shd w:fill="E7E6E6"/>
            <w:vAlign w:val="center"/>
            <w:tcMar>
              <w:top w:w="90" w:type="dxa"/>
              <w:start w:w="90" w:type="dxa"/>
              <w:bottom w:w="90" w:type="dxa"/>
              <w:end w:w="90" w:type="dxa"/>
            </w:tcMar>
          </w:tcPr>
          <w:p>
            <w:r>
              <w:rPr>
                <w:b/>
              </w:rPr>
              <w:t>Prochaine revue</w:t>
            </w:r>
          </w:p>
        </w:tc>
      </w:tr>
      <w:tr>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r>
      <w:tr>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r>
      <w:tr>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r>
      <w:tr>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c>
          <w:tcPr>
            <w:tcW w:type="dxa" w:w="2017"/>
            <w:vAlign w:val="top"/>
            <w:tcMar>
              <w:top w:w="90" w:type="dxa"/>
              <w:start w:w="90" w:type="dxa"/>
              <w:bottom w:w="90" w:type="dxa"/>
              <w:end w:w="90" w:type="dxa"/>
            </w:tcMar>
          </w:tcPr>
          <w:p>
            <w:r/>
          </w:p>
        </w:tc>
      </w:tr>
    </w:tbl>
    <w:p>
      <w:pPr>
        <w:pStyle w:val="Heading2"/>
      </w:pPr>
      <w:r>
        <w:t>6. Message clé</w:t>
      </w:r>
    </w:p>
    <w:p>
      <w:r>
        <w:rPr>
          <w:b/>
        </w:rPr>
        <w:t>Un plan sans gouvernance dépend de la bonne volonté ; un plan gouverné rend visibles les responsabilités, les écarts et les décisions.</w:t>
      </w:r>
    </w:p>
    <w:p>
      <w:pPr>
        <w:pStyle w:val="Heading2"/>
      </w:pPr>
      <w:r>
        <w:t>7. Transition</w:t>
      </w:r>
    </w:p>
    <w:p>
      <w:r>
        <w:t>La dernière séquence ramène le transfert au niveau individuel et formalise les engagements 30-60-90 jours.</w:t>
      </w:r>
    </w:p>
    <w:sectPr w:rsidR="00FC693F" w:rsidRPr="0006063C" w:rsidSect="00034616">
      <w:pgSz w:w="12240" w:h="15840"/>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17365D" w:themeColor="text2" w:themeShade="BF"/>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