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18"/>
        </w:rPr>
        <w:t>ACADÉMIE AFRICAINE DU CAPITAL HUMAIN &amp; DU LEADERSHIP (AACHL)</w:t>
      </w:r>
    </w:p>
    <w:p>
      <w:pPr>
        <w:jc w:val="center"/>
      </w:pPr>
      <w:r>
        <w:rPr>
          <w:b/>
          <w:sz w:val="44"/>
        </w:rPr>
        <w:t>MODULE 6 — INTÉGRATION &amp; TRANSFERT</w:t>
        <w:br/>
        <w:t>SUPPORT INDIVIDUEL — SÉQUENCE 1</w:t>
      </w:r>
    </w:p>
    <w:p>
      <w:pPr>
        <w:jc w:val="center"/>
      </w:pPr>
      <w:r>
        <w:rPr>
          <w:b/>
          <w:sz w:val="24"/>
        </w:rPr>
        <w:t>Consolider les Acquis &amp; Relier les Apprentissages</w:t>
      </w:r>
    </w:p>
    <w:p>
      <w:pPr>
        <w:pStyle w:val="Heading1"/>
      </w:pPr>
      <w:r>
        <w:t>SÉQUENCE 1 — Consolider les Acquis &amp; Relier les Apprentissages</w:t>
      </w:r>
    </w:p>
    <w:p>
      <w:r>
        <w:rPr>
          <w:b/>
        </w:rPr>
        <w:t>Passer d’une succession de modules à une vision intégrée du management et de la gestion des Ressources Humaines</w:t>
      </w:r>
    </w:p>
    <w:p>
      <w:pPr>
        <w:pStyle w:val="Heading2"/>
      </w:pPr>
      <w:r>
        <w:t>Objectifs pédagogiques</w:t>
      </w:r>
    </w:p>
    <w:p>
      <w:pPr>
        <w:pStyle w:val="ListBullet"/>
      </w:pPr>
      <w:r>
        <w:t>Identifier les acquis essentiels des cinq modules précédents.</w:t>
      </w:r>
    </w:p>
    <w:p>
      <w:pPr>
        <w:pStyle w:val="ListBullet"/>
      </w:pPr>
      <w:r>
        <w:t>Relier les dimensions RH, organisationnelles, managériales et sociales.</w:t>
      </w:r>
    </w:p>
    <w:p>
      <w:pPr>
        <w:pStyle w:val="ListBullet"/>
      </w:pPr>
      <w:r>
        <w:t>Associer chaque situation professionnelle aux outils mobilisables.</w:t>
      </w:r>
    </w:p>
    <w:p>
      <w:pPr>
        <w:pStyle w:val="ListBullet"/>
      </w:pPr>
      <w:r>
        <w:t>Développer une lecture systémique avant de décider.</w:t>
      </w:r>
    </w:p>
    <w:p>
      <w:pPr>
        <w:pStyle w:val="Heading2"/>
      </w:pPr>
      <w:r>
        <w:t>1. Cours — Apports structurés</w:t>
      </w:r>
    </w:p>
    <w:p>
      <w:r>
        <w:rPr>
          <w:b/>
        </w:rPr>
        <w:t xml:space="preserve">Consolidation des acquis : </w:t>
      </w:r>
      <w:r>
        <w:t>Le transfert commence par la capacité à retrouver, sélectionner et combiner les connaissances et outils pertinents face à une situation réelle.</w:t>
      </w:r>
    </w:p>
    <w:p>
      <w:r>
        <w:rPr>
          <w:b/>
        </w:rPr>
        <w:t xml:space="preserve">Interdépendances : </w:t>
      </w:r>
      <w:r>
        <w:t>Une difficulté de performance peut provenir d’une responsabilité floue, d’un processus défaillant, d’un problème de compétence, d’un management inadapté, d’une communication insuffisante ou d’un climat social dégradé.</w:t>
      </w:r>
    </w:p>
    <w:p>
      <w:r>
        <w:rPr>
          <w:b/>
        </w:rPr>
        <w:t xml:space="preserve">Lecture systémique : </w:t>
      </w:r>
      <w:r>
        <w:t>L’analyse intégrée évite de traiter uniquement le symptôme. Elle recherche les liens entre organisation, personnes, pratiques, risques et résultats.</w:t>
      </w:r>
    </w:p>
    <w:p>
      <w:r>
        <w:rPr>
          <w:b/>
        </w:rPr>
        <w:t xml:space="preserve">Raisonnement central : </w:t>
      </w:r>
      <w:r>
        <w:rPr>
          <w:b/>
        </w:rPr>
        <w:t>SITUATION → ACQUIS MOBILISABLES → INTERDÉPENDANCES → ANALYSE GLOBALE → LEVIERS D’ACTION</w:t>
      </w:r>
    </w:p>
    <w:p>
      <w:pPr>
        <w:pStyle w:val="Heading2"/>
      </w:pPr>
      <w:r>
        <w:t>2. Cas pratique</w:t>
      </w:r>
    </w:p>
    <w:p>
      <w:r>
        <w:t>Une unité connaît une baisse de performance, une hausse des réclamations internes et des retards répétés. Les managers demandent une formation supplémentaire, alors que les collaborateurs évoquent des responsabilités mal définies, des validations lentes et un manque de feedback.</w:t>
      </w:r>
    </w:p>
    <w:p>
      <w:pPr>
        <w:pStyle w:val="ListNumber"/>
      </w:pPr>
      <w:r>
        <w:t>Quels acquis des Modules 1 à 5 faut-il mobiliser pour analyser la situation ?</w:t>
      </w:r>
    </w:p>
    <w:p>
      <w:pPr>
        <w:pStyle w:val="ListNumber"/>
      </w:pPr>
      <w:r>
        <w:t>Quels éléments relèvent des symptômes et quels éléments peuvent constituer des causes ?</w:t>
      </w:r>
    </w:p>
    <w:p>
      <w:pPr>
        <w:pStyle w:val="ListNumber"/>
      </w:pPr>
      <w:r>
        <w:t>Quels outils du programme permettraient de vérifier les hypothèses avant d’agir ?</w:t>
      </w:r>
    </w:p>
    <w:p>
      <w:pPr>
        <w:pStyle w:val="Heading2"/>
      </w:pPr>
      <w:r>
        <w:t>3. Exercice pratique</w:t>
      </w:r>
    </w:p>
    <w:p>
      <w:r>
        <w:t>Construisez une cartographie de vos acquis : pour chacun des cinq modules précédents, identifiez deux concepts, deux outils et une situation professionnelle dans laquelle vous pourriez les utiliser.</w:t>
      </w:r>
    </w:p>
    <w:p>
      <w:pPr>
        <w:pStyle w:val="Heading2"/>
      </w:pPr>
      <w:r>
        <w:t>4. Mini-exercice</w:t>
      </w:r>
    </w:p>
    <w:p>
      <w:r>
        <w:t>Choisissez une difficulté RH et citez au moins trois dimensions du programme qui peuvent contribuer à son analyse.</w:t>
      </w:r>
    </w:p>
    <w:p>
      <w:pPr>
        <w:pStyle w:val="Heading2"/>
      </w:pPr>
      <w:r>
        <w:t>5. Outil professionnel</w:t>
      </w:r>
    </w:p>
    <w:p>
      <w:r>
        <w:t>Matrice de consolidation des acquis + cartographie des apprentissages + grille acquis/outils/situations professionnelles.</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2017"/>
            <w:shd w:fill="E7E6E6"/>
            <w:vAlign w:val="center"/>
            <w:tcMar>
              <w:top w:w="90" w:type="dxa"/>
              <w:start w:w="90" w:type="dxa"/>
              <w:bottom w:w="90" w:type="dxa"/>
              <w:end w:w="90" w:type="dxa"/>
            </w:tcMar>
          </w:tcPr>
          <w:p>
            <w:r>
              <w:rPr>
                <w:b/>
              </w:rPr>
              <w:t>Module / acquis</w:t>
            </w:r>
          </w:p>
        </w:tc>
        <w:tc>
          <w:tcPr>
            <w:tcW w:type="dxa" w:w="2017"/>
            <w:shd w:fill="E7E6E6"/>
            <w:vAlign w:val="center"/>
            <w:tcMar>
              <w:top w:w="90" w:type="dxa"/>
              <w:start w:w="90" w:type="dxa"/>
              <w:bottom w:w="90" w:type="dxa"/>
              <w:end w:w="90" w:type="dxa"/>
            </w:tcMar>
          </w:tcPr>
          <w:p>
            <w:r>
              <w:rPr>
                <w:b/>
              </w:rPr>
              <w:t>Concept ou pratique clé</w:t>
            </w:r>
          </w:p>
        </w:tc>
        <w:tc>
          <w:tcPr>
            <w:tcW w:type="dxa" w:w="2017"/>
            <w:shd w:fill="E7E6E6"/>
            <w:vAlign w:val="center"/>
            <w:tcMar>
              <w:top w:w="90" w:type="dxa"/>
              <w:start w:w="90" w:type="dxa"/>
              <w:bottom w:w="90" w:type="dxa"/>
              <w:end w:w="90" w:type="dxa"/>
            </w:tcMar>
          </w:tcPr>
          <w:p>
            <w:r>
              <w:rPr>
                <w:b/>
              </w:rPr>
              <w:t>Outil associé</w:t>
            </w:r>
          </w:p>
        </w:tc>
        <w:tc>
          <w:tcPr>
            <w:tcW w:type="dxa" w:w="2017"/>
            <w:shd w:fill="E7E6E6"/>
            <w:vAlign w:val="center"/>
            <w:tcMar>
              <w:top w:w="90" w:type="dxa"/>
              <w:start w:w="90" w:type="dxa"/>
              <w:bottom w:w="90" w:type="dxa"/>
              <w:end w:w="90" w:type="dxa"/>
            </w:tcMar>
          </w:tcPr>
          <w:p>
            <w:r>
              <w:rPr>
                <w:b/>
              </w:rPr>
              <w:t>Situation d’utilisation</w:t>
            </w:r>
          </w:p>
        </w:tc>
        <w:tc>
          <w:tcPr>
            <w:tcW w:type="dxa" w:w="2017"/>
            <w:shd w:fill="E7E6E6"/>
            <w:vAlign w:val="center"/>
            <w:tcMar>
              <w:top w:w="90" w:type="dxa"/>
              <w:start w:w="90" w:type="dxa"/>
              <w:bottom w:w="90" w:type="dxa"/>
              <w:end w:w="90" w:type="dxa"/>
            </w:tcMar>
          </w:tcPr>
          <w:p>
            <w:r>
              <w:rPr>
                <w:b/>
              </w:rPr>
              <w:t>Priorité de transfert</w:t>
            </w:r>
          </w:p>
        </w:tc>
      </w:tr>
      <w:tr>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r>
      <w:tr>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r>
      <w:tr>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r>
      <w:tr>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r>
      <w:tr>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r>
    </w:tbl>
    <w:p>
      <w:pPr>
        <w:pStyle w:val="Heading2"/>
      </w:pPr>
      <w:r>
        <w:t>6. Message clé</w:t>
      </w:r>
    </w:p>
    <w:p>
      <w:r>
        <w:rPr>
          <w:b/>
        </w:rPr>
        <w:t>L’intégration consiste à choisir et combiner les bons acquis au bon moment, plutôt qu’à appliquer un outil isolé à chaque problème.</w:t>
      </w:r>
    </w:p>
    <w:p>
      <w:pPr>
        <w:pStyle w:val="Heading2"/>
      </w:pPr>
      <w:r>
        <w:t>7. Transition</w:t>
      </w:r>
    </w:p>
    <w:p>
      <w:r>
        <w:t>La séquence suivante met cette capacité d’intégration à l’épreuve à travers un cas RH et managérial complexe.</w:t>
      </w:r>
    </w:p>
    <w:sectPr w:rsidR="00FC693F" w:rsidRPr="0006063C" w:rsidSect="00034616">
      <w:pgSz w:w="12240" w:h="15840"/>
      <w:pgMar w:top="964" w:right="1077" w:bottom="96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b/>
      <w:color w:val="17365D" w:themeColor="text2" w:themeShade="BF"/>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