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8"/>
        </w:rPr>
        <w:t>AACHL</w:t>
      </w:r>
    </w:p>
    <w:p>
      <w:pPr>
        <w:jc w:val="center"/>
      </w:pPr>
      <w:r>
        <w:rPr>
          <w:b/>
          <w:sz w:val="22"/>
        </w:rPr>
        <w:t>SUPPORT INDIVIDUEL PARTICIPANT</w:t>
      </w:r>
    </w:p>
    <w:p>
      <w:pPr>
        <w:jc w:val="center"/>
      </w:pPr>
      <w:r>
        <w:rPr>
          <w:b/>
          <w:color w:val="1F4E79"/>
          <w:sz w:val="46"/>
        </w:rPr>
        <w:t>SÉQUENCE 5 — Concevoir &amp; Formaliser les Procédures RH</w:t>
      </w:r>
    </w:p>
    <w:p>
      <w:pPr>
        <w:jc w:val="center"/>
      </w:pPr>
      <w:r>
        <w:rPr>
          <w:b/>
          <w:sz w:val="24"/>
        </w:rPr>
        <w:t>Transformer les pratiques informelles en processus clairs, reproductibles et contrôlables</w:t>
      </w:r>
    </w:p>
    <w:p>
      <w:pPr>
        <w:jc w:val="center"/>
      </w:pPr>
      <w:r>
        <w:rPr>
          <w:i/>
          <w:sz w:val="18"/>
        </w:rPr>
        <w:t>« Développer les talents. Former les leaders. Transformer les organisations. »</w:t>
      </w:r>
    </w:p>
    <w:p/>
    <w:p>
      <w:pPr>
        <w:pStyle w:val="Heading1"/>
      </w:pPr>
      <w:r>
        <w:t>1. Finalité de la séquence</w:t>
      </w:r>
    </w:p>
    <w:p>
      <w:r>
        <w:t>Donner aux activités RH critiques un cadre commun, compréhensible et vérifiable, tout en évitant une bureaucratie inutile.</w:t>
      </w:r>
    </w:p>
    <w:tbl>
      <w:tblPr>
        <w:tblW w:type="auto" w:w="0"/>
        <w:jc w:val="center"/>
        <w:tblLayout w:type="autofit"/>
        <w:tblLook w:firstColumn="1" w:firstRow="1" w:lastColumn="0" w:lastRow="0" w:noHBand="0" w:noVBand="1" w:val="04A0"/>
      </w:tblPr>
      <w:tblGrid>
        <w:gridCol w:w="10200"/>
      </w:tblGrid>
      <w:tr>
        <w:tc>
          <w:tcPr>
            <w:tcW w:type="dxa" w:w="10200"/>
            <w:shd w:fill="D9EAF7"/>
            <w:tcMar>
              <w:top w:w="90" w:type="dxa"/>
              <w:start w:w="90" w:type="dxa"/>
              <w:bottom w:w="90" w:type="dxa"/>
              <w:end w:w="90" w:type="dxa"/>
            </w:tcMar>
          </w:tcPr>
          <w:p>
            <w:r>
              <w:rPr>
                <w:b/>
              </w:rPr>
              <w:t>Objectif pédagogique</w:t>
            </w:r>
          </w:p>
        </w:tc>
      </w:tr>
      <w:tr>
        <w:tc>
          <w:tcPr>
            <w:tcW w:type="dxa" w:w="10200"/>
            <w:tcMar>
              <w:top w:w="90" w:type="dxa"/>
              <w:start w:w="90" w:type="dxa"/>
              <w:bottom w:w="90" w:type="dxa"/>
              <w:end w:w="90" w:type="dxa"/>
            </w:tcMar>
          </w:tcPr>
          <w:p>
            <w:r>
              <w:t>À l’issue de la séquence, le participant sait cartographier un processus et rédiger une procédure RH opérationnelle avec responsabilités, validations, documents et contrôles.</w:t>
            </w:r>
          </w:p>
        </w:tc>
      </w:tr>
    </w:tbl>
    <w:p/>
    <w:p>
      <w:pPr>
        <w:pStyle w:val="Heading1"/>
      </w:pPr>
      <w:r>
        <w:t>2. Compétences visées</w:t>
      </w:r>
    </w:p>
    <w:p>
      <w:pPr>
        <w:pStyle w:val="ListBullet"/>
      </w:pPr>
      <w:r>
        <w:t>Distinguer politique, processus, procédure, mode opératoire et formulaire.</w:t>
      </w:r>
    </w:p>
    <w:p>
      <w:pPr>
        <w:pStyle w:val="ListBullet"/>
      </w:pPr>
      <w:r>
        <w:t>Cartographier les étapes d’un processus RH.</w:t>
      </w:r>
    </w:p>
    <w:p>
      <w:pPr>
        <w:pStyle w:val="ListBullet"/>
      </w:pPr>
      <w:r>
        <w:t>Formaliser responsabilités, délais et validations.</w:t>
      </w:r>
    </w:p>
    <w:p>
      <w:pPr>
        <w:pStyle w:val="ListBullet"/>
      </w:pPr>
      <w:r>
        <w:t>Identifier les documents et preuves associés.</w:t>
      </w:r>
    </w:p>
    <w:p>
      <w:pPr>
        <w:pStyle w:val="ListBullet"/>
      </w:pPr>
      <w:r>
        <w:t>Définir des points de contrôle proportionnés aux risques.</w:t>
      </w:r>
    </w:p>
    <w:p>
      <w:pPr>
        <w:pStyle w:val="Heading1"/>
      </w:pPr>
      <w:r>
        <w:t>3. Repères conceptuels et contenu de cours</w:t>
      </w:r>
    </w:p>
    <w:p>
      <w:pPr>
        <w:pStyle w:val="Heading2"/>
      </w:pPr>
      <w:r>
        <w:t>3.1. Les niveaux de formalisation</w:t>
      </w:r>
    </w:p>
    <w:p>
      <w:r>
        <w:t>Une politique fixe des principes et orientations. Un processus décrit un enchaînement d’activités créant un résultat. Une procédure précise comment le processus doit être exécuté, par qui, avec quelles validations et quels documents. Un mode opératoire détaille une tâche technique. Un formulaire standardise la collecte d’informations.</w:t>
      </w:r>
    </w:p>
    <w:p>
      <w:r>
        <w:t>Choisir le bon niveau de formalisation évite deux écueils : l’absence de règles et la surdocumentation.</w:t>
      </w:r>
    </w:p>
    <w:p>
      <w:pPr>
        <w:pStyle w:val="Heading2"/>
      </w:pPr>
      <w:r>
        <w:t>3.2. Anatomie d’une procédure RH</w:t>
      </w:r>
    </w:p>
    <w:p>
      <w:r>
        <w:t>Une procédure robuste comprend au minimum : objet, périmètre, définitions utiles, acteurs et responsabilités, étapes, délais, validations, documents, points de contrôle, règles d’archivage et modalités de mise à jour.</w:t>
      </w:r>
    </w:p>
    <w:p>
      <w:r>
        <w:t>Le cycle AACHL est : BESOIN → PROCESSUS → ÉTAPES → RESPONSABILITÉS → VALIDATIONS → DOCUMENTS → CONTRÔLES → PREUVES.</w:t>
      </w:r>
    </w:p>
    <w:p>
      <w:pPr>
        <w:pStyle w:val="Heading2"/>
      </w:pPr>
      <w:r>
        <w:t>3.3. Concevoir à partir du risque et de l’usage</w:t>
      </w:r>
    </w:p>
    <w:p>
      <w:r>
        <w:t>On formalise d’abord les processus à fort impact : recrutement, contrats, paie, congés, discipline, formation, départs, dossiers du personnel. Le niveau de contrôle doit être adapté au risque, au volume et aux capacités de l’organisation.</w:t>
      </w:r>
    </w:p>
    <w:p>
      <w:r>
        <w:t>Une procédure n’est utile que si elle est comprise, accessible, appliquée et révisée. Le déploiement fait donc partie intégrante de sa conception.</w:t>
      </w:r>
    </w:p>
    <w:p>
      <w:pPr>
        <w:pStyle w:val="Heading1"/>
      </w:pPr>
      <w:r>
        <w:t>4. Cas pratique</w:t>
      </w:r>
    </w:p>
    <w:p>
      <w:r>
        <w:t>La gestion des congés se fait par e-mail, papier ou message téléphonique selon les équipes. Le RH découvre parfois une absence après le départ du salarié. Les soldes ne sont pas toujours vérifiés avant accord et les pièces sont dispersées.</w:t>
      </w:r>
    </w:p>
    <w:p>
      <w:pPr>
        <w:pStyle w:val="Heading2"/>
      </w:pPr>
      <w:r>
        <w:t>Travail demandé</w:t>
      </w:r>
    </w:p>
    <w:p>
      <w:pPr>
        <w:pStyle w:val="ListNumber"/>
      </w:pPr>
      <w:r>
        <w:t>Cartographier le processus actuel.</w:t>
      </w:r>
    </w:p>
    <w:p>
      <w:pPr>
        <w:pStyle w:val="ListNumber"/>
      </w:pPr>
      <w:r>
        <w:t>Identifier les risques et ruptures de contrôle.</w:t>
      </w:r>
    </w:p>
    <w:p>
      <w:pPr>
        <w:pStyle w:val="ListNumber"/>
      </w:pPr>
      <w:r>
        <w:t>Dessiner le processus cible.</w:t>
      </w:r>
    </w:p>
    <w:p>
      <w:pPr>
        <w:pStyle w:val="ListNumber"/>
      </w:pPr>
      <w:r>
        <w:t>Définir les documents, validations et preuves nécessaires.</w:t>
      </w:r>
    </w:p>
    <w:p>
      <w:pPr>
        <w:pStyle w:val="Heading1"/>
      </w:pPr>
      <w:r>
        <w:t>5. Exercice pratique</w:t>
      </w:r>
    </w:p>
    <w:p>
      <w:r>
        <w:t>Rédigez le canevas d’une procédure RH complète pour un processus prioritaire.</w:t>
      </w:r>
    </w:p>
    <w:p>
      <w:pPr>
        <w:pStyle w:val="ListBullet"/>
      </w:pPr>
      <w:r>
        <w:t>Objet et périmètre.</w:t>
      </w:r>
    </w:p>
    <w:p>
      <w:pPr>
        <w:pStyle w:val="ListBullet"/>
      </w:pPr>
      <w:r>
        <w:t>Acteurs et responsabilités.</w:t>
      </w:r>
    </w:p>
    <w:p>
      <w:pPr>
        <w:pStyle w:val="ListBullet"/>
      </w:pPr>
      <w:r>
        <w:t>Étapes numérotées.</w:t>
      </w:r>
    </w:p>
    <w:p>
      <w:pPr>
        <w:pStyle w:val="ListBullet"/>
      </w:pPr>
      <w:r>
        <w:t>Délais et validations.</w:t>
      </w:r>
    </w:p>
    <w:p>
      <w:pPr>
        <w:pStyle w:val="ListBullet"/>
      </w:pPr>
      <w:r>
        <w:t>Documents / formulaires.</w:t>
      </w:r>
    </w:p>
    <w:p>
      <w:pPr>
        <w:pStyle w:val="ListBullet"/>
      </w:pPr>
      <w:r>
        <w:t>Points de contrôle et preuves.</w:t>
      </w:r>
    </w:p>
    <w:p>
      <w:pPr>
        <w:pStyle w:val="ListBullet"/>
      </w:pPr>
      <w:r>
        <w:t>Règles d’archivage et de révision.</w:t>
      </w:r>
    </w:p>
    <w:p>
      <w:pPr>
        <w:pStyle w:val="Heading1"/>
      </w:pPr>
      <w:r>
        <w:t>6. Mini-exercice de consolidation</w:t>
      </w:r>
    </w:p>
    <w:p>
      <w:r>
        <w:t>Associez chaque élément à la bonne catégorie : politique, processus, procédure, mode opératoire ou formulaire.</w:t>
      </w:r>
    </w:p>
    <w:p>
      <w:pPr>
        <w:pStyle w:val="ListBullet"/>
      </w:pPr>
      <w:r>
        <w:t>Principe d’égalité de traitement.</w:t>
      </w:r>
    </w:p>
    <w:p>
      <w:pPr>
        <w:pStyle w:val="ListBullet"/>
      </w:pPr>
      <w:r>
        <w:t>Cycle de recrutement.</w:t>
      </w:r>
    </w:p>
    <w:p>
      <w:pPr>
        <w:pStyle w:val="ListBullet"/>
      </w:pPr>
      <w:r>
        <w:t>Étapes de validation d’un congé.</w:t>
      </w:r>
    </w:p>
    <w:p>
      <w:pPr>
        <w:pStyle w:val="ListBullet"/>
      </w:pPr>
      <w:r>
        <w:t>Saisie d’un salarié dans le SIRH.</w:t>
      </w:r>
    </w:p>
    <w:p>
      <w:pPr>
        <w:pStyle w:val="ListBullet"/>
      </w:pPr>
      <w:r>
        <w:t>Demande de congé standardisée.</w:t>
      </w:r>
    </w:p>
    <w:p>
      <w:pPr>
        <w:pStyle w:val="Heading1"/>
      </w:pPr>
      <w:r>
        <w:t>7. Outil professionnel AACHL</w:t>
      </w:r>
    </w:p>
    <w:p>
      <w:r>
        <w:t>Canevas AACHL de procédure RH.</w:t>
      </w:r>
    </w:p>
    <w:tbl>
      <w:tblPr>
        <w:tblStyle w:val="TableGrid"/>
        <w:tblW w:type="auto" w:w="0"/>
        <w:jc w:val="center"/>
        <w:tblLook w:firstColumn="1" w:firstRow="1" w:lastColumn="0" w:lastRow="0" w:noHBand="0" w:noVBand="1" w:val="04A0"/>
      </w:tblPr>
      <w:tblGrid>
        <w:gridCol w:w="5100"/>
        <w:gridCol w:w="5100"/>
      </w:tblGrid>
      <w:tr>
        <w:trPr>
          <w:tblHeader w:val="true"/>
        </w:trPr>
        <w:tc>
          <w:tcPr>
            <w:tcW w:type="dxa" w:w="5100"/>
            <w:shd w:fill="D9EAF7"/>
            <w:vAlign w:val="center"/>
            <w:tcMar>
              <w:top w:w="90" w:type="dxa"/>
              <w:start w:w="90" w:type="dxa"/>
              <w:bottom w:w="90" w:type="dxa"/>
              <w:end w:w="90" w:type="dxa"/>
            </w:tcMar>
          </w:tcPr>
          <w:p>
            <w:r>
              <w:rPr>
                <w:b/>
              </w:rPr>
              <w:t>Rubrique</w:t>
            </w:r>
          </w:p>
        </w:tc>
        <w:tc>
          <w:tcPr>
            <w:tcW w:type="dxa" w:w="5100"/>
            <w:shd w:fill="D9EAF7"/>
            <w:vAlign w:val="center"/>
            <w:tcMar>
              <w:top w:w="90" w:type="dxa"/>
              <w:start w:w="90" w:type="dxa"/>
              <w:bottom w:w="90" w:type="dxa"/>
              <w:end w:w="90" w:type="dxa"/>
            </w:tcMar>
          </w:tcPr>
          <w:p>
            <w:r>
              <w:rPr>
                <w:b/>
              </w:rPr>
              <w:t>Contenu</w:t>
            </w:r>
          </w:p>
        </w:tc>
      </w:tr>
      <w:tr>
        <w:tc>
          <w:tcPr>
            <w:tcW w:type="dxa" w:w="5100"/>
            <w:tcMar>
              <w:top w:w="90" w:type="dxa"/>
              <w:start w:w="90" w:type="dxa"/>
              <w:bottom w:w="90" w:type="dxa"/>
              <w:end w:w="90" w:type="dxa"/>
            </w:tcMar>
          </w:tcPr>
          <w:p>
            <w:r>
              <w:t>Objet / finalité</w:t>
            </w:r>
          </w:p>
        </w:tc>
        <w:tc>
          <w:tcPr>
            <w:tcW w:type="dxa" w:w="5100"/>
            <w:tcMar>
              <w:top w:w="90" w:type="dxa"/>
              <w:start w:w="90" w:type="dxa"/>
              <w:bottom w:w="90" w:type="dxa"/>
              <w:end w:w="90" w:type="dxa"/>
            </w:tcMar>
          </w:tcPr>
          <w:p>
            <w:r/>
          </w:p>
        </w:tc>
      </w:tr>
      <w:tr>
        <w:tc>
          <w:tcPr>
            <w:tcW w:type="dxa" w:w="5100"/>
            <w:tcMar>
              <w:top w:w="90" w:type="dxa"/>
              <w:start w:w="90" w:type="dxa"/>
              <w:bottom w:w="90" w:type="dxa"/>
              <w:end w:w="90" w:type="dxa"/>
            </w:tcMar>
          </w:tcPr>
          <w:p>
            <w:r>
              <w:t>Périmètre</w:t>
            </w:r>
          </w:p>
        </w:tc>
        <w:tc>
          <w:tcPr>
            <w:tcW w:type="dxa" w:w="5100"/>
            <w:tcMar>
              <w:top w:w="90" w:type="dxa"/>
              <w:start w:w="90" w:type="dxa"/>
              <w:bottom w:w="90" w:type="dxa"/>
              <w:end w:w="90" w:type="dxa"/>
            </w:tcMar>
          </w:tcPr>
          <w:p>
            <w:r/>
          </w:p>
        </w:tc>
      </w:tr>
      <w:tr>
        <w:tc>
          <w:tcPr>
            <w:tcW w:type="dxa" w:w="5100"/>
            <w:tcMar>
              <w:top w:w="90" w:type="dxa"/>
              <w:start w:w="90" w:type="dxa"/>
              <w:bottom w:w="90" w:type="dxa"/>
              <w:end w:w="90" w:type="dxa"/>
            </w:tcMar>
          </w:tcPr>
          <w:p>
            <w:r>
              <w:t>Acteurs / responsabilités</w:t>
            </w:r>
          </w:p>
        </w:tc>
        <w:tc>
          <w:tcPr>
            <w:tcW w:type="dxa" w:w="5100"/>
            <w:tcMar>
              <w:top w:w="90" w:type="dxa"/>
              <w:start w:w="90" w:type="dxa"/>
              <w:bottom w:w="90" w:type="dxa"/>
              <w:end w:w="90" w:type="dxa"/>
            </w:tcMar>
          </w:tcPr>
          <w:p>
            <w:r/>
          </w:p>
        </w:tc>
      </w:tr>
      <w:tr>
        <w:tc>
          <w:tcPr>
            <w:tcW w:type="dxa" w:w="5100"/>
            <w:tcMar>
              <w:top w:w="90" w:type="dxa"/>
              <w:start w:w="90" w:type="dxa"/>
              <w:bottom w:w="90" w:type="dxa"/>
              <w:end w:w="90" w:type="dxa"/>
            </w:tcMar>
          </w:tcPr>
          <w:p>
            <w:r>
              <w:t>Étapes clés</w:t>
            </w:r>
          </w:p>
        </w:tc>
        <w:tc>
          <w:tcPr>
            <w:tcW w:type="dxa" w:w="5100"/>
            <w:tcMar>
              <w:top w:w="90" w:type="dxa"/>
              <w:start w:w="90" w:type="dxa"/>
              <w:bottom w:w="90" w:type="dxa"/>
              <w:end w:w="90" w:type="dxa"/>
            </w:tcMar>
          </w:tcPr>
          <w:p>
            <w:r/>
          </w:p>
        </w:tc>
      </w:tr>
      <w:tr>
        <w:tc>
          <w:tcPr>
            <w:tcW w:type="dxa" w:w="5100"/>
            <w:tcMar>
              <w:top w:w="90" w:type="dxa"/>
              <w:start w:w="90" w:type="dxa"/>
              <w:bottom w:w="90" w:type="dxa"/>
              <w:end w:w="90" w:type="dxa"/>
            </w:tcMar>
          </w:tcPr>
          <w:p>
            <w:r>
              <w:t>Délais</w:t>
            </w:r>
          </w:p>
        </w:tc>
        <w:tc>
          <w:tcPr>
            <w:tcW w:type="dxa" w:w="5100"/>
            <w:tcMar>
              <w:top w:w="90" w:type="dxa"/>
              <w:start w:w="90" w:type="dxa"/>
              <w:bottom w:w="90" w:type="dxa"/>
              <w:end w:w="90" w:type="dxa"/>
            </w:tcMar>
          </w:tcPr>
          <w:p>
            <w:r/>
          </w:p>
        </w:tc>
      </w:tr>
      <w:tr>
        <w:tc>
          <w:tcPr>
            <w:tcW w:type="dxa" w:w="5100"/>
            <w:tcMar>
              <w:top w:w="90" w:type="dxa"/>
              <w:start w:w="90" w:type="dxa"/>
              <w:bottom w:w="90" w:type="dxa"/>
              <w:end w:w="90" w:type="dxa"/>
            </w:tcMar>
          </w:tcPr>
          <w:p>
            <w:r>
              <w:t>Validations</w:t>
            </w:r>
          </w:p>
        </w:tc>
        <w:tc>
          <w:tcPr>
            <w:tcW w:type="dxa" w:w="5100"/>
            <w:tcMar>
              <w:top w:w="90" w:type="dxa"/>
              <w:start w:w="90" w:type="dxa"/>
              <w:bottom w:w="90" w:type="dxa"/>
              <w:end w:w="90" w:type="dxa"/>
            </w:tcMar>
          </w:tcPr>
          <w:p>
            <w:r/>
          </w:p>
        </w:tc>
      </w:tr>
      <w:tr>
        <w:tc>
          <w:tcPr>
            <w:tcW w:type="dxa" w:w="5100"/>
            <w:tcMar>
              <w:top w:w="90" w:type="dxa"/>
              <w:start w:w="90" w:type="dxa"/>
              <w:bottom w:w="90" w:type="dxa"/>
              <w:end w:w="90" w:type="dxa"/>
            </w:tcMar>
          </w:tcPr>
          <w:p>
            <w:r>
              <w:t>Documents / preuves</w:t>
            </w:r>
          </w:p>
        </w:tc>
        <w:tc>
          <w:tcPr>
            <w:tcW w:type="dxa" w:w="5100"/>
            <w:tcMar>
              <w:top w:w="90" w:type="dxa"/>
              <w:start w:w="90" w:type="dxa"/>
              <w:bottom w:w="90" w:type="dxa"/>
              <w:end w:w="90" w:type="dxa"/>
            </w:tcMar>
          </w:tcPr>
          <w:p>
            <w:r/>
          </w:p>
        </w:tc>
      </w:tr>
      <w:tr>
        <w:tc>
          <w:tcPr>
            <w:tcW w:type="dxa" w:w="5100"/>
            <w:tcMar>
              <w:top w:w="90" w:type="dxa"/>
              <w:start w:w="90" w:type="dxa"/>
              <w:bottom w:w="90" w:type="dxa"/>
              <w:end w:w="90" w:type="dxa"/>
            </w:tcMar>
          </w:tcPr>
          <w:p>
            <w:r>
              <w:t>Points de contrôle</w:t>
            </w:r>
          </w:p>
        </w:tc>
        <w:tc>
          <w:tcPr>
            <w:tcW w:type="dxa" w:w="5100"/>
            <w:tcMar>
              <w:top w:w="90" w:type="dxa"/>
              <w:start w:w="90" w:type="dxa"/>
              <w:bottom w:w="90" w:type="dxa"/>
              <w:end w:w="90" w:type="dxa"/>
            </w:tcMar>
          </w:tcPr>
          <w:p>
            <w:r/>
          </w:p>
        </w:tc>
      </w:tr>
      <w:tr>
        <w:tc>
          <w:tcPr>
            <w:tcW w:type="dxa" w:w="5100"/>
            <w:tcMar>
              <w:top w:w="90" w:type="dxa"/>
              <w:start w:w="90" w:type="dxa"/>
              <w:bottom w:w="90" w:type="dxa"/>
              <w:end w:w="90" w:type="dxa"/>
            </w:tcMar>
          </w:tcPr>
          <w:p>
            <w:r>
              <w:t>Archivage / conservation</w:t>
            </w:r>
          </w:p>
        </w:tc>
        <w:tc>
          <w:tcPr>
            <w:tcW w:type="dxa" w:w="5100"/>
            <w:tcMar>
              <w:top w:w="90" w:type="dxa"/>
              <w:start w:w="90" w:type="dxa"/>
              <w:bottom w:w="90" w:type="dxa"/>
              <w:end w:w="90" w:type="dxa"/>
            </w:tcMar>
          </w:tcPr>
          <w:p>
            <w:r/>
          </w:p>
        </w:tc>
      </w:tr>
      <w:tr>
        <w:tc>
          <w:tcPr>
            <w:tcW w:type="dxa" w:w="5100"/>
            <w:tcMar>
              <w:top w:w="90" w:type="dxa"/>
              <w:start w:w="90" w:type="dxa"/>
              <w:bottom w:w="90" w:type="dxa"/>
              <w:end w:w="90" w:type="dxa"/>
            </w:tcMar>
          </w:tcPr>
          <w:p>
            <w:r>
              <w:t>Révision de la procédure</w:t>
            </w:r>
          </w:p>
        </w:tc>
        <w:tc>
          <w:tcPr>
            <w:tcW w:type="dxa" w:w="5100"/>
            <w:tcMar>
              <w:top w:w="90" w:type="dxa"/>
              <w:start w:w="90" w:type="dxa"/>
              <w:bottom w:w="90" w:type="dxa"/>
              <w:end w:w="90" w:type="dxa"/>
            </w:tcMar>
          </w:tcPr>
          <w:p>
            <w:r/>
          </w:p>
        </w:tc>
      </w:tr>
    </w:tbl>
    <w:p/>
    <w:p>
      <w:pPr>
        <w:pStyle w:val="Heading1"/>
      </w:pPr>
      <w:r>
        <w:t>8. Auto-évaluation du participant</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2550"/>
            <w:shd w:fill="D9EAF7"/>
            <w:vAlign w:val="center"/>
            <w:tcMar>
              <w:top w:w="90" w:type="dxa"/>
              <w:start w:w="90" w:type="dxa"/>
              <w:bottom w:w="90" w:type="dxa"/>
              <w:end w:w="90" w:type="dxa"/>
            </w:tcMar>
          </w:tcPr>
          <w:p>
            <w:r>
              <w:rPr>
                <w:b/>
              </w:rPr>
              <w:t>Je suis capable de…</w:t>
            </w:r>
          </w:p>
        </w:tc>
        <w:tc>
          <w:tcPr>
            <w:tcW w:type="dxa" w:w="2550"/>
            <w:shd w:fill="D9EAF7"/>
            <w:vAlign w:val="center"/>
            <w:tcMar>
              <w:top w:w="90" w:type="dxa"/>
              <w:start w:w="90" w:type="dxa"/>
              <w:bottom w:w="90" w:type="dxa"/>
              <w:end w:w="90" w:type="dxa"/>
            </w:tcMar>
          </w:tcPr>
          <w:p>
            <w:r>
              <w:rPr>
                <w:b/>
              </w:rPr>
              <w:t>Oui</w:t>
            </w:r>
          </w:p>
        </w:tc>
        <w:tc>
          <w:tcPr>
            <w:tcW w:type="dxa" w:w="2550"/>
            <w:shd w:fill="D9EAF7"/>
            <w:vAlign w:val="center"/>
            <w:tcMar>
              <w:top w:w="90" w:type="dxa"/>
              <w:start w:w="90" w:type="dxa"/>
              <w:bottom w:w="90" w:type="dxa"/>
              <w:end w:w="90" w:type="dxa"/>
            </w:tcMar>
          </w:tcPr>
          <w:p>
            <w:r>
              <w:rPr>
                <w:b/>
              </w:rPr>
              <w:t>Partiellement</w:t>
            </w:r>
          </w:p>
        </w:tc>
        <w:tc>
          <w:tcPr>
            <w:tcW w:type="dxa" w:w="2550"/>
            <w:shd w:fill="D9EAF7"/>
            <w:vAlign w:val="center"/>
            <w:tcMar>
              <w:top w:w="90" w:type="dxa"/>
              <w:start w:w="90" w:type="dxa"/>
              <w:bottom w:w="90" w:type="dxa"/>
              <w:end w:w="90" w:type="dxa"/>
            </w:tcMar>
          </w:tcPr>
          <w:p>
            <w:r>
              <w:rPr>
                <w:b/>
              </w:rPr>
              <w:t>À renforcer</w:t>
            </w:r>
          </w:p>
        </w:tc>
      </w:tr>
      <w:tr>
        <w:tc>
          <w:tcPr>
            <w:tcW w:type="dxa" w:w="2550"/>
            <w:tcMar>
              <w:top w:w="90" w:type="dxa"/>
              <w:start w:w="90" w:type="dxa"/>
              <w:bottom w:w="90" w:type="dxa"/>
              <w:end w:w="90" w:type="dxa"/>
            </w:tcMar>
          </w:tcPr>
          <w:p>
            <w:r>
              <w:t>Distinguer politique, processus, procédure, mode opératoire et formulaire.</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Cartographier les étapes d’un processus RH.</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Formaliser responsabilités, délais et validations.</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Identifier les documents et preuves associés.</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Définir des points de contrôle proportionnés aux risques.</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bl>
    <w:p/>
    <w:tbl>
      <w:tblPr>
        <w:tblW w:type="auto" w:w="0"/>
        <w:jc w:val="center"/>
        <w:tblLayout w:type="autofit"/>
        <w:tblLook w:firstColumn="1" w:firstRow="1" w:lastColumn="0" w:lastRow="0" w:noHBand="0" w:noVBand="1" w:val="04A0"/>
      </w:tblPr>
      <w:tblGrid>
        <w:gridCol w:w="10200"/>
      </w:tblGrid>
      <w:tr>
        <w:tc>
          <w:tcPr>
            <w:tcW w:type="dxa" w:w="10200"/>
            <w:shd w:fill="D9EAF7"/>
            <w:tcMar>
              <w:top w:w="90" w:type="dxa"/>
              <w:start w:w="90" w:type="dxa"/>
              <w:bottom w:w="90" w:type="dxa"/>
              <w:end w:w="90" w:type="dxa"/>
            </w:tcMar>
          </w:tcPr>
          <w:p>
            <w:r>
              <w:rPr>
                <w:b/>
              </w:rPr>
              <w:t>Message clé</w:t>
            </w:r>
          </w:p>
        </w:tc>
      </w:tr>
      <w:tr>
        <w:tc>
          <w:tcPr>
            <w:tcW w:type="dxa" w:w="10200"/>
            <w:tcMar>
              <w:top w:w="90" w:type="dxa"/>
              <w:start w:w="90" w:type="dxa"/>
              <w:bottom w:w="90" w:type="dxa"/>
              <w:end w:w="90" w:type="dxa"/>
            </w:tcMar>
          </w:tcPr>
          <w:p>
            <w:r>
              <w:t>Une bonne procédure sécurise le résultat sans étouffer l’action : elle précise ce qui doit être maîtrisé, par qui et avec quelles preuves.</w:t>
            </w:r>
          </w:p>
        </w:tc>
      </w:tr>
    </w:tbl>
    <w:p/>
    <w:p>
      <w:pPr>
        <w:pStyle w:val="Heading1"/>
      </w:pPr>
      <w:r>
        <w:t>9. Plan d’action individuel</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2550"/>
            <w:shd w:fill="D9EAF7"/>
            <w:vAlign w:val="center"/>
            <w:tcMar>
              <w:top w:w="90" w:type="dxa"/>
              <w:start w:w="90" w:type="dxa"/>
              <w:bottom w:w="90" w:type="dxa"/>
              <w:end w:w="90" w:type="dxa"/>
            </w:tcMar>
          </w:tcPr>
          <w:p>
            <w:r>
              <w:rPr>
                <w:b/>
              </w:rPr>
              <w:t>Action à engager</w:t>
            </w:r>
          </w:p>
        </w:tc>
        <w:tc>
          <w:tcPr>
            <w:tcW w:type="dxa" w:w="2550"/>
            <w:shd w:fill="D9EAF7"/>
            <w:vAlign w:val="center"/>
            <w:tcMar>
              <w:top w:w="90" w:type="dxa"/>
              <w:start w:w="90" w:type="dxa"/>
              <w:bottom w:w="90" w:type="dxa"/>
              <w:end w:w="90" w:type="dxa"/>
            </w:tcMar>
          </w:tcPr>
          <w:p>
            <w:r>
              <w:rPr>
                <w:b/>
              </w:rPr>
              <w:t>Responsable</w:t>
            </w:r>
          </w:p>
        </w:tc>
        <w:tc>
          <w:tcPr>
            <w:tcW w:type="dxa" w:w="2550"/>
            <w:shd w:fill="D9EAF7"/>
            <w:vAlign w:val="center"/>
            <w:tcMar>
              <w:top w:w="90" w:type="dxa"/>
              <w:start w:w="90" w:type="dxa"/>
              <w:bottom w:w="90" w:type="dxa"/>
              <w:end w:w="90" w:type="dxa"/>
            </w:tcMar>
          </w:tcPr>
          <w:p>
            <w:r>
              <w:rPr>
                <w:b/>
              </w:rPr>
              <w:t>Échéance</w:t>
            </w:r>
          </w:p>
        </w:tc>
        <w:tc>
          <w:tcPr>
            <w:tcW w:type="dxa" w:w="2550"/>
            <w:shd w:fill="D9EAF7"/>
            <w:vAlign w:val="center"/>
            <w:tcMar>
              <w:top w:w="90" w:type="dxa"/>
              <w:start w:w="90" w:type="dxa"/>
              <w:bottom w:w="90" w:type="dxa"/>
              <w:end w:w="90" w:type="dxa"/>
            </w:tcMar>
          </w:tcPr>
          <w:p>
            <w:r>
              <w:rPr>
                <w:b/>
              </w:rPr>
              <w:t>Indicateur de réussite</w:t>
            </w:r>
          </w:p>
        </w:tc>
      </w:tr>
      <w:tr>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r>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r>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bl>
    <w:p/>
    <w:p>
      <w:pPr>
        <w:pStyle w:val="Heading1"/>
      </w:pPr>
      <w:r>
        <w:t>10. Transition</w:t>
      </w:r>
    </w:p>
    <w:p>
      <w:r>
        <w:t>La procédure produit des documents et des décisions. La dernière séquence organise leur conservation, leur mise à jour et leur traçabilité.</w:t>
      </w:r>
    </w:p>
    <w:sectPr w:rsidR="00FC693F" w:rsidRPr="0006063C" w:rsidSect="00034616">
      <w:headerReference w:type="default" r:id="rId9"/>
      <w:footerReference w:type="default" r:id="rId10"/>
      <w:pgSz w:w="12240" w:h="15840"/>
      <w:pgMar w:top="96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Campus Virtuel AACHL • Module 2 — Organisation RH &amp; Procédures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16"/>
      </w:rPr>
      <w:t>AACHL — ACADÉMIE AFRICAINE DU CAPITAL HUMAIN &amp; DU LEADERSHIP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ptos Display" w:hAnsi="Aptos Display"/>
      <w:b/>
      <w:bCs/>
      <w:color w:val="1F4E79"/>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Display" w:hAnsi="Aptos Display"/>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Display" w:hAnsi="Aptos Display"/>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Aptos Display" w:hAnsi="Aptos Display"/>
      <w:b/>
      <w:color w:val="1F4E7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