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ACADÉMIE AFRICAINE DU CAPITAL HUMAIN &amp; DU LEADERSHIP</w:t>
        <w:br/>
        <w:t>(AACHL)</w:t>
      </w:r>
    </w:p>
    <w:p/>
    <w:p>
      <w:pPr>
        <w:jc w:val="center"/>
      </w:pPr>
      <w:r>
        <w:rPr>
          <w:b/>
          <w:sz w:val="36"/>
        </w:rPr>
        <w:t>MODULE 2 - ÉVALUATION &amp; MANAGEMENT DE LA PERFORMANCE</w:t>
      </w:r>
    </w:p>
    <w:p>
      <w:pPr>
        <w:jc w:val="center"/>
      </w:pPr>
      <w:r>
        <w:rPr>
          <w:b/>
          <w:sz w:val="44"/>
        </w:rPr>
        <w:t>SÉQUENCE 5</w:t>
        <w:br/>
        <w:t>DIAGNOSTIQUER LES ÉCARTS &amp; CONSTRUIRE LES PLANS DE DÉVELOPPEMENT</w:t>
      </w:r>
    </w:p>
    <w:p>
      <w:pPr>
        <w:jc w:val="center"/>
      </w:pPr>
      <w:r>
        <w:rPr>
          <w:i/>
          <w:sz w:val="22"/>
        </w:rPr>
        <w:t>Support pédagogique détaillé - Niveau cabinet international</w:t>
      </w:r>
    </w:p>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Données</w:t>
            </w:r>
          </w:p>
        </w:tc>
      </w:tr>
      <w:tr>
        <w:tc>
          <w:tcPr>
            <w:tcW w:type="dxa" w:w="5100"/>
            <w:vAlign w:val="center"/>
          </w:tcPr>
          <w:p>
            <w:r/>
            <w:r>
              <w:rPr>
                <w:b w:val="0"/>
                <w:sz w:val="16"/>
              </w:rPr>
              <w:t>Position</w:t>
            </w:r>
          </w:p>
        </w:tc>
        <w:tc>
          <w:tcPr>
            <w:tcW w:type="dxa" w:w="5100"/>
            <w:vAlign w:val="center"/>
          </w:tcPr>
          <w:p>
            <w:r/>
            <w:r>
              <w:rPr>
                <w:b w:val="0"/>
                <w:sz w:val="16"/>
              </w:rPr>
              <w:t>Module 2 - Séquence 5</w:t>
            </w:r>
          </w:p>
        </w:tc>
      </w:tr>
      <w:tr>
        <w:tc>
          <w:tcPr>
            <w:tcW w:type="dxa" w:w="5100"/>
            <w:vAlign w:val="center"/>
          </w:tcPr>
          <w:p>
            <w:r/>
            <w:r>
              <w:rPr>
                <w:b w:val="0"/>
                <w:sz w:val="16"/>
              </w:rPr>
              <w:t>Finalité</w:t>
            </w:r>
          </w:p>
        </w:tc>
        <w:tc>
          <w:tcPr>
            <w:tcW w:type="dxa" w:w="5100"/>
            <w:vAlign w:val="center"/>
          </w:tcPr>
          <w:p>
            <w:r/>
            <w:r>
              <w:rPr>
                <w:b w:val="0"/>
                <w:sz w:val="16"/>
              </w:rPr>
              <w:t>Transformer les écarts de performance en diagnostics de causes et en actions de développement ciblées, réalistes et mesurables.</w:t>
            </w:r>
          </w:p>
        </w:tc>
      </w:tr>
      <w:tr>
        <w:tc>
          <w:tcPr>
            <w:tcW w:type="dxa" w:w="5100"/>
            <w:vAlign w:val="center"/>
          </w:tcPr>
          <w:p>
            <w:r/>
            <w:r>
              <w:rPr>
                <w:b w:val="0"/>
                <w:sz w:val="16"/>
              </w:rPr>
              <w:t>Méthodes</w:t>
            </w:r>
          </w:p>
        </w:tc>
        <w:tc>
          <w:tcPr>
            <w:tcW w:type="dxa" w:w="5100"/>
            <w:vAlign w:val="center"/>
          </w:tcPr>
          <w:p>
            <w:r/>
            <w:r>
              <w:rPr>
                <w:b w:val="0"/>
                <w:sz w:val="16"/>
              </w:rPr>
              <w:t>Apports structurés, exemples, cas pratique, exercice collectif, mini-exercice et outil professionnel.</w:t>
            </w:r>
          </w:p>
        </w:tc>
      </w:tr>
      <w:tr>
        <w:tc>
          <w:tcPr>
            <w:tcW w:type="dxa" w:w="5100"/>
            <w:vAlign w:val="center"/>
          </w:tcPr>
          <w:p>
            <w:r/>
            <w:r>
              <w:rPr>
                <w:b w:val="0"/>
                <w:sz w:val="16"/>
              </w:rPr>
              <w:t>Production attendue</w:t>
            </w:r>
          </w:p>
        </w:tc>
        <w:tc>
          <w:tcPr>
            <w:tcW w:type="dxa" w:w="5100"/>
            <w:vAlign w:val="center"/>
          </w:tcPr>
          <w:p>
            <w:r/>
            <w:r>
              <w:rPr>
                <w:b w:val="0"/>
                <w:sz w:val="16"/>
              </w:rPr>
              <w:t>Diagnostic complet d’un écart et Plan Individuel de Développement (PID) avec indicateurs et revues.</w:t>
            </w:r>
          </w:p>
        </w:tc>
      </w:tr>
    </w:tbl>
    <w:p>
      <w:pPr>
        <w:pStyle w:val="Heading2"/>
      </w:pPr>
      <w:r>
        <w:t>Accroche pédagogique</w:t>
      </w:r>
    </w:p>
    <w:p>
      <w:r>
        <w:t>Une formation mal ciblée peut être parfaitement exécutée et ne rien résoudre. Avant de choisir une action, il faut comprendre pourquoi l’écart existe et ce qui doit réellement changer.</w:t>
      </w:r>
    </w:p>
    <w:p>
      <w:pPr>
        <w:pStyle w:val="Heading2"/>
      </w:pPr>
      <w:r>
        <w:t>Question d’ouverture</w:t>
      </w:r>
    </w:p>
    <w:p>
      <w:r>
        <w:rPr>
          <w:b/>
        </w:rPr>
        <w:t>Comment éviter de prescrire une formation lorsque la cause du problème se trouve ailleurs ?</w:t>
      </w:r>
    </w:p>
    <w:p>
      <w:r>
        <w:br w:type="page"/>
      </w:r>
    </w:p>
    <w:p>
      <w:pPr>
        <w:pStyle w:val="Heading1"/>
      </w:pPr>
      <w:r>
        <w:t>1. OBJECTIF DE LA SÉQUENCE</w:t>
      </w:r>
    </w:p>
    <w:p>
      <w:r>
        <w:t>À l’issue de cette séquence, les participants devront savoir distinguer symptôme, écart, cause et solution, puis construire un plan de développement adapté à la cause validée et suivi par des indicateurs de progrès.</w:t>
      </w:r>
    </w:p>
    <w:p>
      <w:pPr>
        <w:pStyle w:val="ListBullet"/>
        <w:spacing w:after="60"/>
      </w:pPr>
      <w:r>
        <w:t>Décrire précisément un écart de performance.</w:t>
      </w:r>
    </w:p>
    <w:p>
      <w:pPr>
        <w:pStyle w:val="ListBullet"/>
        <w:spacing w:after="60"/>
      </w:pPr>
      <w:r>
        <w:t>Distinguer symptôme, fait, cause et action.</w:t>
      </w:r>
    </w:p>
    <w:p>
      <w:pPr>
        <w:pStyle w:val="ListBullet"/>
        <w:spacing w:after="60"/>
      </w:pPr>
      <w:r>
        <w:t>Explorer plusieurs familles de causes.</w:t>
      </w:r>
    </w:p>
    <w:p>
      <w:pPr>
        <w:pStyle w:val="ListBullet"/>
        <w:spacing w:after="60"/>
      </w:pPr>
      <w:r>
        <w:t>Déterminer si un besoin relève réellement de la compétence.</w:t>
      </w:r>
    </w:p>
    <w:p>
      <w:pPr>
        <w:pStyle w:val="ListBullet"/>
        <w:spacing w:after="60"/>
      </w:pPr>
      <w:r>
        <w:t>Choisir une modalité de développement adaptée.</w:t>
      </w:r>
    </w:p>
    <w:p>
      <w:pPr>
        <w:pStyle w:val="ListBullet"/>
        <w:spacing w:after="60"/>
      </w:pPr>
      <w:r>
        <w:t>Construire un PID avec responsables, délais et indicateurs.</w:t>
      </w:r>
    </w:p>
    <w:p>
      <w:pPr>
        <w:pStyle w:val="ListBullet"/>
        <w:spacing w:after="60"/>
      </w:pPr>
      <w:r>
        <w:t>Organiser des revues de progrès.</w:t>
      </w:r>
    </w:p>
    <w:p>
      <w:pPr>
        <w:pStyle w:val="Heading1"/>
      </w:pPr>
      <w:r>
        <w:t>2. DU SYMPTÔME À L’ÉCART</w:t>
      </w:r>
    </w:p>
    <w:p>
      <w:r>
        <w:t>« Il n’est pas performant » n’est pas un diagnostic. Un écart doit comparer un attendu explicite à un résultat observé. Plus la formulation est précise, plus l’analyse des causes devient utile.</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Élément</w:t>
            </w:r>
          </w:p>
        </w:tc>
        <w:tc>
          <w:tcPr>
            <w:tcW w:type="dxa" w:w="5100"/>
            <w:vAlign w:val="center"/>
            <w:shd w:fill="D9EAD3"/>
          </w:tcPr>
          <w:p>
            <w:r/>
            <w:r>
              <w:rPr>
                <w:b/>
                <w:sz w:val="16"/>
              </w:rPr>
              <w:t>Exemple</w:t>
            </w:r>
          </w:p>
        </w:tc>
      </w:tr>
      <w:tr>
        <w:tc>
          <w:tcPr>
            <w:tcW w:type="dxa" w:w="5100"/>
            <w:vAlign w:val="center"/>
          </w:tcPr>
          <w:p>
            <w:r/>
            <w:r>
              <w:rPr>
                <w:b w:val="0"/>
                <w:sz w:val="16"/>
              </w:rPr>
              <w:t>Attendu</w:t>
            </w:r>
          </w:p>
        </w:tc>
        <w:tc>
          <w:tcPr>
            <w:tcW w:type="dxa" w:w="5100"/>
            <w:vAlign w:val="center"/>
          </w:tcPr>
          <w:p>
            <w:r/>
            <w:r>
              <w:rPr>
                <w:b w:val="0"/>
                <w:sz w:val="16"/>
              </w:rPr>
              <w:t>95 % des dossiers traités sous 48 h.</w:t>
            </w:r>
          </w:p>
        </w:tc>
      </w:tr>
      <w:tr>
        <w:tc>
          <w:tcPr>
            <w:tcW w:type="dxa" w:w="5100"/>
            <w:vAlign w:val="center"/>
          </w:tcPr>
          <w:p>
            <w:r/>
            <w:r>
              <w:rPr>
                <w:b w:val="0"/>
                <w:sz w:val="16"/>
              </w:rPr>
              <w:t>Observé</w:t>
            </w:r>
          </w:p>
        </w:tc>
        <w:tc>
          <w:tcPr>
            <w:tcW w:type="dxa" w:w="5100"/>
            <w:vAlign w:val="center"/>
          </w:tcPr>
          <w:p>
            <w:r/>
            <w:r>
              <w:rPr>
                <w:b w:val="0"/>
                <w:sz w:val="16"/>
              </w:rPr>
              <w:t>72 % sous 48 h sur les trois derniers mois.</w:t>
            </w:r>
          </w:p>
        </w:tc>
      </w:tr>
      <w:tr>
        <w:tc>
          <w:tcPr>
            <w:tcW w:type="dxa" w:w="5100"/>
            <w:vAlign w:val="center"/>
          </w:tcPr>
          <w:p>
            <w:r/>
            <w:r>
              <w:rPr>
                <w:b w:val="0"/>
                <w:sz w:val="16"/>
              </w:rPr>
              <w:t>Écart</w:t>
            </w:r>
          </w:p>
        </w:tc>
        <w:tc>
          <w:tcPr>
            <w:tcW w:type="dxa" w:w="5100"/>
            <w:vAlign w:val="center"/>
          </w:tcPr>
          <w:p>
            <w:r/>
            <w:r>
              <w:rPr>
                <w:b w:val="0"/>
                <w:sz w:val="16"/>
              </w:rPr>
              <w:t>-23 points par rapport à la cible.</w:t>
            </w:r>
          </w:p>
        </w:tc>
      </w:tr>
      <w:tr>
        <w:tc>
          <w:tcPr>
            <w:tcW w:type="dxa" w:w="5100"/>
            <w:vAlign w:val="center"/>
          </w:tcPr>
          <w:p>
            <w:r/>
            <w:r>
              <w:rPr>
                <w:b w:val="0"/>
                <w:sz w:val="16"/>
              </w:rPr>
              <w:t>Question</w:t>
            </w:r>
          </w:p>
        </w:tc>
        <w:tc>
          <w:tcPr>
            <w:tcW w:type="dxa" w:w="5100"/>
            <w:vAlign w:val="center"/>
          </w:tcPr>
          <w:p>
            <w:r/>
            <w:r>
              <w:rPr>
                <w:b w:val="0"/>
                <w:sz w:val="16"/>
              </w:rPr>
              <w:t>Quelles causes expliquent cet écart ?</w:t>
            </w:r>
          </w:p>
        </w:tc>
      </w:tr>
    </w:tbl>
    <w:p>
      <w:pPr>
        <w:pStyle w:val="Heading1"/>
      </w:pPr>
      <w:r>
        <w:t>3. LES FAMILLES DE CAUSES À TESTER</w:t>
      </w:r>
    </w:p>
    <w:p>
      <w:r>
        <w:t>Une sous-performance peut provenir de plusieurs facteurs simultanés. Le diagnostic doit éviter l’explication unique trop rapide.</w:t>
      </w:r>
    </w:p>
    <w:p>
      <w:pPr>
        <w:pStyle w:val="ListBullet"/>
        <w:spacing w:after="60"/>
      </w:pPr>
      <w:r>
        <w:t>Clarté des objectifs et priorités.</w:t>
      </w:r>
    </w:p>
    <w:p>
      <w:pPr>
        <w:pStyle w:val="ListBullet"/>
        <w:spacing w:after="60"/>
      </w:pPr>
      <w:r>
        <w:t>Compétences / connaissances.</w:t>
      </w:r>
    </w:p>
    <w:p>
      <w:pPr>
        <w:pStyle w:val="ListBullet"/>
        <w:spacing w:after="60"/>
      </w:pPr>
      <w:r>
        <w:t>Moyens, outils et ressources.</w:t>
      </w:r>
    </w:p>
    <w:p>
      <w:pPr>
        <w:pStyle w:val="ListBullet"/>
        <w:spacing w:after="60"/>
      </w:pPr>
      <w:r>
        <w:t>Organisation du travail et processus.</w:t>
      </w:r>
    </w:p>
    <w:p>
      <w:pPr>
        <w:pStyle w:val="ListBullet"/>
        <w:spacing w:after="60"/>
      </w:pPr>
      <w:r>
        <w:t>Charge, capacité et effectifs.</w:t>
      </w:r>
    </w:p>
    <w:p>
      <w:pPr>
        <w:pStyle w:val="ListBullet"/>
        <w:spacing w:after="60"/>
      </w:pPr>
      <w:r>
        <w:t>Management, feedback et arbitrages.</w:t>
      </w:r>
    </w:p>
    <w:p>
      <w:pPr>
        <w:pStyle w:val="ListBullet"/>
        <w:spacing w:after="60"/>
      </w:pPr>
      <w:r>
        <w:t>Engagement, reconnaissance ou équité perçue.</w:t>
      </w:r>
    </w:p>
    <w:p>
      <w:pPr>
        <w:pStyle w:val="ListBullet"/>
        <w:spacing w:after="60"/>
      </w:pPr>
      <w:r>
        <w:t>Coopération et dépendances entre équipes.</w:t>
      </w:r>
    </w:p>
    <w:p>
      <w:pPr>
        <w:pStyle w:val="ListBullet"/>
        <w:spacing w:after="60"/>
      </w:pPr>
      <w:r>
        <w:t>Contraintes externes.</w:t>
      </w:r>
    </w:p>
    <w:p>
      <w:pPr>
        <w:pStyle w:val="Heading1"/>
      </w:pPr>
      <w:r>
        <w:t>4. FORMATION OU AUTRE ACTION ?</w:t>
      </w:r>
    </w:p>
    <w:p>
      <w:r>
        <w:t>La formation est pertinente lorsque la personne ne sait pas encore faire ce qui est attendu et que l’apprentissage peut raisonnablement réduire l’écart. Elle est peu pertinente si la cause dominante est une procédure contradictoire, un manque de matériel, des priorités instables ou une autorité insuffisante.</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Cause dominante</w:t>
            </w:r>
          </w:p>
        </w:tc>
        <w:tc>
          <w:tcPr>
            <w:tcW w:type="dxa" w:w="5100"/>
            <w:vAlign w:val="center"/>
            <w:shd w:fill="D9EAD3"/>
          </w:tcPr>
          <w:p>
            <w:r/>
            <w:r>
              <w:rPr>
                <w:b/>
                <w:sz w:val="16"/>
              </w:rPr>
              <w:t>Réponse possible</w:t>
            </w:r>
          </w:p>
        </w:tc>
      </w:tr>
      <w:tr>
        <w:tc>
          <w:tcPr>
            <w:tcW w:type="dxa" w:w="5100"/>
            <w:vAlign w:val="center"/>
          </w:tcPr>
          <w:p>
            <w:r/>
            <w:r>
              <w:rPr>
                <w:b w:val="0"/>
                <w:sz w:val="16"/>
              </w:rPr>
              <w:t>Compétence</w:t>
            </w:r>
          </w:p>
        </w:tc>
        <w:tc>
          <w:tcPr>
            <w:tcW w:type="dxa" w:w="5100"/>
            <w:vAlign w:val="center"/>
          </w:tcPr>
          <w:p>
            <w:r/>
            <w:r>
              <w:rPr>
                <w:b w:val="0"/>
                <w:sz w:val="16"/>
              </w:rPr>
              <w:t>Formation, tutorat, coaching, pratique guidée.</w:t>
            </w:r>
          </w:p>
        </w:tc>
      </w:tr>
      <w:tr>
        <w:tc>
          <w:tcPr>
            <w:tcW w:type="dxa" w:w="5100"/>
            <w:vAlign w:val="center"/>
          </w:tcPr>
          <w:p>
            <w:r/>
            <w:r>
              <w:rPr>
                <w:b w:val="0"/>
                <w:sz w:val="16"/>
              </w:rPr>
              <w:t>Clarté</w:t>
            </w:r>
          </w:p>
        </w:tc>
        <w:tc>
          <w:tcPr>
            <w:tcW w:type="dxa" w:w="5100"/>
            <w:vAlign w:val="center"/>
          </w:tcPr>
          <w:p>
            <w:r/>
            <w:r>
              <w:rPr>
                <w:b w:val="0"/>
                <w:sz w:val="16"/>
              </w:rPr>
              <w:t>Clarification d’objectifs, rôle, procédure.</w:t>
            </w:r>
          </w:p>
        </w:tc>
      </w:tr>
      <w:tr>
        <w:tc>
          <w:tcPr>
            <w:tcW w:type="dxa" w:w="5100"/>
            <w:vAlign w:val="center"/>
          </w:tcPr>
          <w:p>
            <w:r/>
            <w:r>
              <w:rPr>
                <w:b w:val="0"/>
                <w:sz w:val="16"/>
              </w:rPr>
              <w:t>Moyens</w:t>
            </w:r>
          </w:p>
        </w:tc>
        <w:tc>
          <w:tcPr>
            <w:tcW w:type="dxa" w:w="5100"/>
            <w:vAlign w:val="center"/>
          </w:tcPr>
          <w:p>
            <w:r/>
            <w:r>
              <w:rPr>
                <w:b w:val="0"/>
                <w:sz w:val="16"/>
              </w:rPr>
              <w:t>Ressource, outil, budget, accès.</w:t>
            </w:r>
          </w:p>
        </w:tc>
      </w:tr>
      <w:tr>
        <w:tc>
          <w:tcPr>
            <w:tcW w:type="dxa" w:w="5100"/>
            <w:vAlign w:val="center"/>
          </w:tcPr>
          <w:p>
            <w:r/>
            <w:r>
              <w:rPr>
                <w:b w:val="0"/>
                <w:sz w:val="16"/>
              </w:rPr>
              <w:t>Organisation</w:t>
            </w:r>
          </w:p>
        </w:tc>
        <w:tc>
          <w:tcPr>
            <w:tcW w:type="dxa" w:w="5100"/>
            <w:vAlign w:val="center"/>
          </w:tcPr>
          <w:p>
            <w:r/>
            <w:r>
              <w:rPr>
                <w:b w:val="0"/>
                <w:sz w:val="16"/>
              </w:rPr>
              <w:t>Revoir processus, charge, coordination.</w:t>
            </w:r>
          </w:p>
        </w:tc>
      </w:tr>
      <w:tr>
        <w:tc>
          <w:tcPr>
            <w:tcW w:type="dxa" w:w="5100"/>
            <w:vAlign w:val="center"/>
          </w:tcPr>
          <w:p>
            <w:r/>
            <w:r>
              <w:rPr>
                <w:b w:val="0"/>
                <w:sz w:val="16"/>
              </w:rPr>
              <w:t>Management</w:t>
            </w:r>
          </w:p>
        </w:tc>
        <w:tc>
          <w:tcPr>
            <w:tcW w:type="dxa" w:w="5100"/>
            <w:vAlign w:val="center"/>
          </w:tcPr>
          <w:p>
            <w:r/>
            <w:r>
              <w:rPr>
                <w:b w:val="0"/>
                <w:sz w:val="16"/>
              </w:rPr>
              <w:t>Feedback, arbitrage, accompagnement.</w:t>
            </w:r>
          </w:p>
        </w:tc>
      </w:tr>
      <w:tr>
        <w:tc>
          <w:tcPr>
            <w:tcW w:type="dxa" w:w="5100"/>
            <w:vAlign w:val="center"/>
          </w:tcPr>
          <w:p>
            <w:r/>
            <w:r>
              <w:rPr>
                <w:b w:val="0"/>
                <w:sz w:val="16"/>
              </w:rPr>
              <w:t>Motivation / reconnaissance</w:t>
            </w:r>
          </w:p>
        </w:tc>
        <w:tc>
          <w:tcPr>
            <w:tcW w:type="dxa" w:w="5100"/>
            <w:vAlign w:val="center"/>
          </w:tcPr>
          <w:p>
            <w:r/>
            <w:r>
              <w:rPr>
                <w:b w:val="0"/>
                <w:sz w:val="16"/>
              </w:rPr>
              <w:t>Dialogue, reconnaissance, équité, perspective.</w:t>
            </w:r>
          </w:p>
        </w:tc>
      </w:tr>
    </w:tbl>
    <w:p>
      <w:pPr>
        <w:pStyle w:val="Heading1"/>
      </w:pPr>
      <w:r>
        <w:t>5. CONSTRUIRE UN PLAN INDIVIDUEL DE DÉVELOPPEMENT</w:t>
      </w:r>
    </w:p>
    <w:p>
      <w:r>
        <w:t>Le PID relie un besoin prioritaire à un objectif de progrès, une modalité, un responsable, une échéance et une preuve. Il doit rester focalisé : quelques actions bien suivies valent mieux qu’une longue liste sans revue.</w:t>
      </w:r>
    </w:p>
    <w:p>
      <w:pPr>
        <w:pStyle w:val="ListBullet"/>
        <w:spacing w:after="60"/>
      </w:pPr>
      <w:r>
        <w:t>Objectif de progrès précis.</w:t>
      </w:r>
    </w:p>
    <w:p>
      <w:pPr>
        <w:pStyle w:val="ListBullet"/>
        <w:spacing w:after="60"/>
      </w:pPr>
      <w:r>
        <w:t>Action de développement adaptée.</w:t>
      </w:r>
    </w:p>
    <w:p>
      <w:pPr>
        <w:pStyle w:val="ListBullet"/>
        <w:spacing w:after="60"/>
      </w:pPr>
      <w:r>
        <w:t>Responsable / soutien.</w:t>
      </w:r>
    </w:p>
    <w:p>
      <w:pPr>
        <w:pStyle w:val="ListBullet"/>
        <w:spacing w:after="60"/>
      </w:pPr>
      <w:r>
        <w:t>Échéance et jalons.</w:t>
      </w:r>
    </w:p>
    <w:p>
      <w:pPr>
        <w:pStyle w:val="ListBullet"/>
        <w:spacing w:after="60"/>
      </w:pPr>
      <w:r>
        <w:t>Indicateur de progrès.</w:t>
      </w:r>
    </w:p>
    <w:p>
      <w:pPr>
        <w:pStyle w:val="ListBullet"/>
        <w:spacing w:after="60"/>
      </w:pPr>
      <w:r>
        <w:t>Date de revue.</w:t>
      </w:r>
    </w:p>
    <w:p>
      <w:pPr>
        <w:pStyle w:val="Heading1"/>
      </w:pPr>
      <w:r>
        <w:t>6. DIVERSIFIER LES MODALITÉS DE DÉVELOPPEMENT</w:t>
      </w:r>
    </w:p>
    <w:p>
      <w:r>
        <w:t>Le développement professionnel peut combiner apprentissage formel et expérience : formation, tutorat, coaching, observation, binômage, mission élargie, projet transversal, retour d’expérience, lecture guidée ou pratique supervisée.</w:t>
      </w:r>
    </w:p>
    <w:p>
      <w:pPr>
        <w:pStyle w:val="Heading1"/>
      </w:pPr>
      <w:r>
        <w:t>7. MESURER LE PROGRÈS</w:t>
      </w:r>
    </w:p>
    <w:p>
      <w:r>
        <w:t>Le succès ne se mesure pas seulement au fait d’avoir suivi une action. Il faut observer ce qui a changé : niveau de maîtrise, qualité, délai, autonomie, comportement ou résultat opérationnel selon l’objectif.</w:t>
      </w:r>
    </w:p>
    <w:p>
      <w:pPr>
        <w:pStyle w:val="ListBullet"/>
        <w:spacing w:after="60"/>
      </w:pPr>
      <w:r>
        <w:t>Indicateur d’activité : action réalisée.</w:t>
      </w:r>
    </w:p>
    <w:p>
      <w:pPr>
        <w:pStyle w:val="ListBullet"/>
        <w:spacing w:after="60"/>
      </w:pPr>
      <w:r>
        <w:t>Indicateur d’apprentissage : compétence acquise.</w:t>
      </w:r>
    </w:p>
    <w:p>
      <w:pPr>
        <w:pStyle w:val="ListBullet"/>
        <w:spacing w:after="60"/>
      </w:pPr>
      <w:r>
        <w:t>Indicateur de transfert : compétence appliquée au poste.</w:t>
      </w:r>
    </w:p>
    <w:p>
      <w:pPr>
        <w:pStyle w:val="ListBullet"/>
        <w:spacing w:after="60"/>
      </w:pPr>
      <w:r>
        <w:t>Indicateur de résultat : effet sur la performance.</w:t>
      </w:r>
    </w:p>
    <w:p>
      <w:pPr>
        <w:pStyle w:val="Heading1"/>
      </w:pPr>
      <w:r>
        <w:t>8. CAS PRATIQUE - « La formation comme réponse automatique »</w:t>
      </w:r>
    </w:p>
    <w:p>
      <w:pPr>
        <w:pStyle w:val="Heading2"/>
      </w:pPr>
      <w:r>
        <w:t>Situation</w:t>
      </w:r>
    </w:p>
    <w:p>
      <w:r>
        <w:t>Un collaborateur commet régulièrement des erreurs dans un processus. Son manager demande immédiatement une formation. L’analyse montre que la procédure a changé trois fois en six mois, que deux versions circulent et que les contrôles ne sont pas clairement attribués.</w:t>
      </w:r>
    </w:p>
    <w:p>
      <w:pPr>
        <w:pStyle w:val="Heading2"/>
      </w:pPr>
      <w:r>
        <w:t>Travail demandé</w:t>
      </w:r>
    </w:p>
    <w:p>
      <w:pPr>
        <w:pStyle w:val="ListBullet"/>
        <w:spacing w:after="60"/>
      </w:pPr>
      <w:r>
        <w:t>Quel est l’écart précisément ?</w:t>
      </w:r>
    </w:p>
    <w:p>
      <w:pPr>
        <w:pStyle w:val="ListBullet"/>
        <w:spacing w:after="60"/>
      </w:pPr>
      <w:r>
        <w:t>Quelles causes apparaissent déjà ?</w:t>
      </w:r>
    </w:p>
    <w:p>
      <w:pPr>
        <w:pStyle w:val="ListBullet"/>
        <w:spacing w:after="60"/>
      </w:pPr>
      <w:r>
        <w:t>Quelles informations faut-il encore vérifier ?</w:t>
      </w:r>
    </w:p>
    <w:p>
      <w:pPr>
        <w:pStyle w:val="ListBullet"/>
        <w:spacing w:after="60"/>
      </w:pPr>
      <w:r>
        <w:t>Une formation est-elle prioritaire ? Pourquoi ?</w:t>
      </w:r>
    </w:p>
    <w:p>
      <w:pPr>
        <w:pStyle w:val="ListBullet"/>
        <w:spacing w:after="60"/>
      </w:pPr>
      <w:r>
        <w:t>Quel plan d’action traiterait d’abord les causes systémiques ?</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Dimension</w:t>
            </w:r>
          </w:p>
        </w:tc>
        <w:tc>
          <w:tcPr>
            <w:tcW w:type="dxa" w:w="5100"/>
            <w:vAlign w:val="center"/>
            <w:shd w:fill="D9EAD3"/>
          </w:tcPr>
          <w:p>
            <w:r/>
            <w:r>
              <w:rPr>
                <w:b/>
                <w:sz w:val="16"/>
              </w:rPr>
              <w:t>Analyse du groupe</w:t>
            </w:r>
          </w:p>
        </w:tc>
      </w:tr>
      <w:tr>
        <w:tc>
          <w:tcPr>
            <w:tcW w:type="dxa" w:w="5100"/>
            <w:vAlign w:val="center"/>
          </w:tcPr>
          <w:p>
            <w:r/>
            <w:r>
              <w:rPr>
                <w:b w:val="0"/>
                <w:sz w:val="16"/>
              </w:rPr>
              <w:t>Écart</w:t>
            </w:r>
          </w:p>
        </w:tc>
        <w:tc>
          <w:tcPr>
            <w:tcW w:type="dxa" w:w="5100"/>
            <w:vAlign w:val="center"/>
          </w:tcPr>
          <w:p>
            <w:r/>
            <w:r>
              <w:rPr>
                <w:b w:val="0"/>
                <w:sz w:val="16"/>
              </w:rPr>
            </w:r>
          </w:p>
        </w:tc>
      </w:tr>
      <w:tr>
        <w:tc>
          <w:tcPr>
            <w:tcW w:type="dxa" w:w="5100"/>
            <w:vAlign w:val="center"/>
          </w:tcPr>
          <w:p>
            <w:r/>
            <w:r>
              <w:rPr>
                <w:b w:val="0"/>
                <w:sz w:val="16"/>
              </w:rPr>
              <w:t>Faits</w:t>
            </w:r>
          </w:p>
        </w:tc>
        <w:tc>
          <w:tcPr>
            <w:tcW w:type="dxa" w:w="5100"/>
            <w:vAlign w:val="center"/>
          </w:tcPr>
          <w:p>
            <w:r/>
            <w:r>
              <w:rPr>
                <w:b w:val="0"/>
                <w:sz w:val="16"/>
              </w:rPr>
            </w:r>
          </w:p>
        </w:tc>
      </w:tr>
      <w:tr>
        <w:tc>
          <w:tcPr>
            <w:tcW w:type="dxa" w:w="5100"/>
            <w:vAlign w:val="center"/>
          </w:tcPr>
          <w:p>
            <w:r/>
            <w:r>
              <w:rPr>
                <w:b w:val="0"/>
                <w:sz w:val="16"/>
              </w:rPr>
              <w:t>Causes possibles</w:t>
            </w:r>
          </w:p>
        </w:tc>
        <w:tc>
          <w:tcPr>
            <w:tcW w:type="dxa" w:w="5100"/>
            <w:vAlign w:val="center"/>
          </w:tcPr>
          <w:p>
            <w:r/>
            <w:r>
              <w:rPr>
                <w:b w:val="0"/>
                <w:sz w:val="16"/>
              </w:rPr>
            </w:r>
          </w:p>
        </w:tc>
      </w:tr>
      <w:tr>
        <w:tc>
          <w:tcPr>
            <w:tcW w:type="dxa" w:w="5100"/>
            <w:vAlign w:val="center"/>
          </w:tcPr>
          <w:p>
            <w:r/>
            <w:r>
              <w:rPr>
                <w:b w:val="0"/>
                <w:sz w:val="16"/>
              </w:rPr>
              <w:t>Cause à valider</w:t>
            </w:r>
          </w:p>
        </w:tc>
        <w:tc>
          <w:tcPr>
            <w:tcW w:type="dxa" w:w="5100"/>
            <w:vAlign w:val="center"/>
          </w:tcPr>
          <w:p>
            <w:r/>
            <w:r>
              <w:rPr>
                <w:b w:val="0"/>
                <w:sz w:val="16"/>
              </w:rPr>
            </w:r>
          </w:p>
        </w:tc>
      </w:tr>
      <w:tr>
        <w:tc>
          <w:tcPr>
            <w:tcW w:type="dxa" w:w="5100"/>
            <w:vAlign w:val="center"/>
          </w:tcPr>
          <w:p>
            <w:r/>
            <w:r>
              <w:rPr>
                <w:b w:val="0"/>
                <w:sz w:val="16"/>
              </w:rPr>
              <w:t>Action adaptée</w:t>
            </w:r>
          </w:p>
        </w:tc>
        <w:tc>
          <w:tcPr>
            <w:tcW w:type="dxa" w:w="5100"/>
            <w:vAlign w:val="center"/>
          </w:tcPr>
          <w:p>
            <w:r/>
            <w:r>
              <w:rPr>
                <w:b w:val="0"/>
                <w:sz w:val="16"/>
              </w:rPr>
            </w:r>
          </w:p>
        </w:tc>
      </w:tr>
      <w:tr>
        <w:tc>
          <w:tcPr>
            <w:tcW w:type="dxa" w:w="5100"/>
            <w:vAlign w:val="center"/>
          </w:tcPr>
          <w:p>
            <w:r/>
            <w:r>
              <w:rPr>
                <w:b w:val="0"/>
                <w:sz w:val="16"/>
              </w:rPr>
              <w:t>Indicateur</w:t>
            </w:r>
          </w:p>
        </w:tc>
        <w:tc>
          <w:tcPr>
            <w:tcW w:type="dxa" w:w="5100"/>
            <w:vAlign w:val="center"/>
          </w:tcPr>
          <w:p>
            <w:r/>
            <w:r>
              <w:rPr>
                <w:b w:val="0"/>
                <w:sz w:val="16"/>
              </w:rPr>
            </w:r>
          </w:p>
        </w:tc>
      </w:tr>
    </w:tbl>
    <w:p>
      <w:pPr>
        <w:pStyle w:val="Heading2"/>
      </w:pPr>
      <w:r>
        <w:t>Débriefing attendu</w:t>
      </w:r>
    </w:p>
    <w:p>
      <w:r>
        <w:t>Le réflexe formation peut masquer un problème d’organisation. La responsabilité RH est de qualifier le besoin avant d’engager une solution. Le développement est une réponse à un diagnostic, pas un substitut au diagnostic.</w:t>
      </w:r>
    </w:p>
    <w:p>
      <w:pPr>
        <w:pStyle w:val="Heading1"/>
      </w:pPr>
      <w:r>
        <w:t>9. EXERCICE PRATIQUE - DIAGNOSTIC D’UN ÉCART DE PERFORMANCE</w:t>
      </w:r>
    </w:p>
    <w:p>
      <w:r>
        <w:t>Choisissez un écart réel ou fictif et appliquez la chaîne complète jusqu’à la décision d’action.</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457"/>
            <w:vAlign w:val="center"/>
            <w:shd w:fill="D9EAD3"/>
          </w:tcPr>
          <w:p>
            <w:r/>
            <w:r>
              <w:rPr>
                <w:b/>
                <w:sz w:val="16"/>
              </w:rPr>
              <w:t>Résultat attendu</w:t>
            </w:r>
          </w:p>
        </w:tc>
        <w:tc>
          <w:tcPr>
            <w:tcW w:type="dxa" w:w="1457"/>
            <w:vAlign w:val="center"/>
            <w:shd w:fill="D9EAD3"/>
          </w:tcPr>
          <w:p>
            <w:r/>
            <w:r>
              <w:rPr>
                <w:b/>
                <w:sz w:val="16"/>
              </w:rPr>
              <w:t>Résultat observé</w:t>
            </w:r>
          </w:p>
        </w:tc>
        <w:tc>
          <w:tcPr>
            <w:tcW w:type="dxa" w:w="1457"/>
            <w:vAlign w:val="center"/>
            <w:shd w:fill="D9EAD3"/>
          </w:tcPr>
          <w:p>
            <w:r/>
            <w:r>
              <w:rPr>
                <w:b/>
                <w:sz w:val="16"/>
              </w:rPr>
              <w:t>Écart</w:t>
            </w:r>
          </w:p>
        </w:tc>
        <w:tc>
          <w:tcPr>
            <w:tcW w:type="dxa" w:w="1457"/>
            <w:vAlign w:val="center"/>
            <w:shd w:fill="D9EAD3"/>
          </w:tcPr>
          <w:p>
            <w:r/>
            <w:r>
              <w:rPr>
                <w:b/>
                <w:sz w:val="16"/>
              </w:rPr>
              <w:t>Causes possibles</w:t>
            </w:r>
          </w:p>
        </w:tc>
        <w:tc>
          <w:tcPr>
            <w:tcW w:type="dxa" w:w="1457"/>
            <w:vAlign w:val="center"/>
            <w:shd w:fill="D9EAD3"/>
          </w:tcPr>
          <w:p>
            <w:r/>
            <w:r>
              <w:rPr>
                <w:b/>
                <w:sz w:val="16"/>
              </w:rPr>
              <w:t>Cause validée</w:t>
            </w:r>
          </w:p>
        </w:tc>
        <w:tc>
          <w:tcPr>
            <w:tcW w:type="dxa" w:w="1457"/>
            <w:vAlign w:val="center"/>
            <w:shd w:fill="D9EAD3"/>
          </w:tcPr>
          <w:p>
            <w:r/>
            <w:r>
              <w:rPr>
                <w:b/>
                <w:sz w:val="16"/>
              </w:rPr>
              <w:t>Action</w:t>
            </w:r>
          </w:p>
        </w:tc>
        <w:tc>
          <w:tcPr>
            <w:tcW w:type="dxa" w:w="1457"/>
            <w:vAlign w:val="center"/>
            <w:shd w:fill="D9EAD3"/>
          </w:tcPr>
          <w:p>
            <w:r/>
            <w:r>
              <w:rPr>
                <w:b/>
                <w:sz w:val="16"/>
              </w:rPr>
              <w:t>Indicateur</w:t>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bl>
    <w:p>
      <w:r>
        <w:t>Pour chaque action proposée, demandez : « Si nous faisons cela, quelle cause précise sommes-nous en train de traiter ? »</w:t>
      </w:r>
    </w:p>
    <w:p>
      <w:pPr>
        <w:pStyle w:val="Heading1"/>
      </w:pPr>
      <w:r>
        <w:t>10. MINI-EXERCICE</w:t>
      </w:r>
    </w:p>
    <w:p>
      <w:r>
        <w:rPr>
          <w:b/>
        </w:rPr>
        <w:t>Situation / affirmation à discuter</w:t>
      </w:r>
    </w:p>
    <w:p>
      <w:r>
        <w:t>Un salarié maîtrise techniquement son poste mais ses résultats baissent parce que ses priorités changent chaque semaine. Quelle action est prioritaire ?</w:t>
      </w:r>
    </w:p>
    <w:p>
      <w:r>
        <w:t>Votre réponse :</w:t>
        <w:br/>
        <w:t>1. ______________________________________________________________________________</w:t>
        <w:br/>
        <w:t>2. ______________________________________________________________________________</w:t>
        <w:br/>
        <w:t>3. ______________________________________________________________________________</w:t>
      </w:r>
    </w:p>
    <w:p>
      <w:r>
        <w:rPr>
          <w:b/>
        </w:rPr>
        <w:t>Éléments de réponse</w:t>
      </w:r>
    </w:p>
    <w:p>
      <w:r>
        <w:t>Clarifier et stabiliser les priorités, les règles d’arbitrage et le suivi. Une formation technique ne traiterait pas la cause principale. Une action de management et d’organisation du travail est prioritaire.</w:t>
      </w:r>
    </w:p>
    <w:p>
      <w:pPr>
        <w:pStyle w:val="Heading1"/>
      </w:pPr>
      <w:r>
        <w:t>11. OUTIL PROFESSIONNEL - PLAN INDIVIDUEL DE DÉVELOPPEMENT (PID)</w:t>
      </w:r>
    </w:p>
    <w:p>
      <w:r>
        <w:t>Le PID formalise quelques engagements ciblés et vérifiables. Il doit être revu périodiquement avec le collaborateur.</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457"/>
            <w:vAlign w:val="center"/>
            <w:shd w:fill="D9EAD3"/>
          </w:tcPr>
          <w:p>
            <w:r/>
            <w:r>
              <w:rPr>
                <w:b/>
                <w:sz w:val="16"/>
              </w:rPr>
              <w:t>Écart / besoin</w:t>
            </w:r>
          </w:p>
        </w:tc>
        <w:tc>
          <w:tcPr>
            <w:tcW w:type="dxa" w:w="1457"/>
            <w:vAlign w:val="center"/>
            <w:shd w:fill="D9EAD3"/>
          </w:tcPr>
          <w:p>
            <w:r/>
            <w:r>
              <w:rPr>
                <w:b/>
                <w:sz w:val="16"/>
              </w:rPr>
              <w:t>Cause validée</w:t>
            </w:r>
          </w:p>
        </w:tc>
        <w:tc>
          <w:tcPr>
            <w:tcW w:type="dxa" w:w="1457"/>
            <w:vAlign w:val="center"/>
            <w:shd w:fill="D9EAD3"/>
          </w:tcPr>
          <w:p>
            <w:r/>
            <w:r>
              <w:rPr>
                <w:b/>
                <w:sz w:val="16"/>
              </w:rPr>
              <w:t>Objectif de progrès</w:t>
            </w:r>
          </w:p>
        </w:tc>
        <w:tc>
          <w:tcPr>
            <w:tcW w:type="dxa" w:w="1457"/>
            <w:vAlign w:val="center"/>
            <w:shd w:fill="D9EAD3"/>
          </w:tcPr>
          <w:p>
            <w:r/>
            <w:r>
              <w:rPr>
                <w:b/>
                <w:sz w:val="16"/>
              </w:rPr>
              <w:t>Action</w:t>
            </w:r>
          </w:p>
        </w:tc>
        <w:tc>
          <w:tcPr>
            <w:tcW w:type="dxa" w:w="1457"/>
            <w:vAlign w:val="center"/>
            <w:shd w:fill="D9EAD3"/>
          </w:tcPr>
          <w:p>
            <w:r/>
            <w:r>
              <w:rPr>
                <w:b/>
                <w:sz w:val="16"/>
              </w:rPr>
              <w:t>Responsable</w:t>
            </w:r>
          </w:p>
        </w:tc>
        <w:tc>
          <w:tcPr>
            <w:tcW w:type="dxa" w:w="1457"/>
            <w:vAlign w:val="center"/>
            <w:shd w:fill="D9EAD3"/>
          </w:tcPr>
          <w:p>
            <w:r/>
            <w:r>
              <w:rPr>
                <w:b/>
                <w:sz w:val="16"/>
              </w:rPr>
              <w:t>Échéance</w:t>
            </w:r>
          </w:p>
        </w:tc>
        <w:tc>
          <w:tcPr>
            <w:tcW w:type="dxa" w:w="1457"/>
            <w:vAlign w:val="center"/>
            <w:shd w:fill="D9EAD3"/>
          </w:tcPr>
          <w:p>
            <w:r/>
            <w:r>
              <w:rPr>
                <w:b/>
                <w:sz w:val="16"/>
              </w:rPr>
              <w:t>Indicateur / preuve</w:t>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bl>
    <w:p>
      <w:r>
        <w:t>Date de la prochaine revue : ____________________  |  Soutien / ressources nécessaires : ______________________________</w:t>
      </w:r>
    </w:p>
    <w:p>
      <w:pPr>
        <w:pStyle w:val="Heading1"/>
      </w:pPr>
      <w:r>
        <w:t>12. LES 6 QUESTIONS DU DIAGNOSTIC DE DÉVELOPPEMENT - REPÈRE AACHL</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w:t>
            </w:r>
          </w:p>
        </w:tc>
        <w:tc>
          <w:tcPr>
            <w:tcW w:type="dxa" w:w="5100"/>
            <w:vAlign w:val="center"/>
            <w:shd w:fill="D9EAD3"/>
          </w:tcPr>
          <w:p>
            <w:r/>
            <w:r>
              <w:rPr>
                <w:b/>
                <w:sz w:val="16"/>
              </w:rPr>
              <w:t>Question de management</w:t>
            </w:r>
          </w:p>
        </w:tc>
      </w:tr>
      <w:tr>
        <w:tc>
          <w:tcPr>
            <w:tcW w:type="dxa" w:w="5100"/>
            <w:vAlign w:val="center"/>
          </w:tcPr>
          <w:p>
            <w:r/>
            <w:r>
              <w:rPr>
                <w:b w:val="0"/>
                <w:sz w:val="16"/>
              </w:rPr>
              <w:t>1</w:t>
            </w:r>
          </w:p>
        </w:tc>
        <w:tc>
          <w:tcPr>
            <w:tcW w:type="dxa" w:w="5100"/>
            <w:vAlign w:val="center"/>
          </w:tcPr>
          <w:p>
            <w:r/>
            <w:r>
              <w:rPr>
                <w:b w:val="0"/>
                <w:sz w:val="16"/>
              </w:rPr>
              <w:t>Quel était le résultat attendu ?</w:t>
            </w:r>
          </w:p>
        </w:tc>
      </w:tr>
      <w:tr>
        <w:tc>
          <w:tcPr>
            <w:tcW w:type="dxa" w:w="5100"/>
            <w:vAlign w:val="center"/>
          </w:tcPr>
          <w:p>
            <w:r/>
            <w:r>
              <w:rPr>
                <w:b w:val="0"/>
                <w:sz w:val="16"/>
              </w:rPr>
              <w:t>2</w:t>
            </w:r>
          </w:p>
        </w:tc>
        <w:tc>
          <w:tcPr>
            <w:tcW w:type="dxa" w:w="5100"/>
            <w:vAlign w:val="center"/>
          </w:tcPr>
          <w:p>
            <w:r/>
            <w:r>
              <w:rPr>
                <w:b w:val="0"/>
                <w:sz w:val="16"/>
              </w:rPr>
              <w:t>Quel écart factuel observons-nous ?</w:t>
            </w:r>
          </w:p>
        </w:tc>
      </w:tr>
      <w:tr>
        <w:tc>
          <w:tcPr>
            <w:tcW w:type="dxa" w:w="5100"/>
            <w:vAlign w:val="center"/>
          </w:tcPr>
          <w:p>
            <w:r/>
            <w:r>
              <w:rPr>
                <w:b w:val="0"/>
                <w:sz w:val="16"/>
              </w:rPr>
              <w:t>3</w:t>
            </w:r>
          </w:p>
        </w:tc>
        <w:tc>
          <w:tcPr>
            <w:tcW w:type="dxa" w:w="5100"/>
            <w:vAlign w:val="center"/>
          </w:tcPr>
          <w:p>
            <w:r/>
            <w:r>
              <w:rPr>
                <w:b w:val="0"/>
                <w:sz w:val="16"/>
              </w:rPr>
              <w:t>Quelles causes devons-nous tester ?</w:t>
            </w:r>
          </w:p>
        </w:tc>
      </w:tr>
      <w:tr>
        <w:tc>
          <w:tcPr>
            <w:tcW w:type="dxa" w:w="5100"/>
            <w:vAlign w:val="center"/>
          </w:tcPr>
          <w:p>
            <w:r/>
            <w:r>
              <w:rPr>
                <w:b w:val="0"/>
                <w:sz w:val="16"/>
              </w:rPr>
              <w:t>4</w:t>
            </w:r>
          </w:p>
        </w:tc>
        <w:tc>
          <w:tcPr>
            <w:tcW w:type="dxa" w:w="5100"/>
            <w:vAlign w:val="center"/>
          </w:tcPr>
          <w:p>
            <w:r/>
            <w:r>
              <w:rPr>
                <w:b w:val="0"/>
                <w:sz w:val="16"/>
              </w:rPr>
              <w:t>Quelle cause est suffisamment étayée ?</w:t>
            </w:r>
          </w:p>
        </w:tc>
      </w:tr>
      <w:tr>
        <w:tc>
          <w:tcPr>
            <w:tcW w:type="dxa" w:w="5100"/>
            <w:vAlign w:val="center"/>
          </w:tcPr>
          <w:p>
            <w:r/>
            <w:r>
              <w:rPr>
                <w:b w:val="0"/>
                <w:sz w:val="16"/>
              </w:rPr>
              <w:t>5</w:t>
            </w:r>
          </w:p>
        </w:tc>
        <w:tc>
          <w:tcPr>
            <w:tcW w:type="dxa" w:w="5100"/>
            <w:vAlign w:val="center"/>
          </w:tcPr>
          <w:p>
            <w:r/>
            <w:r>
              <w:rPr>
                <w:b w:val="0"/>
                <w:sz w:val="16"/>
              </w:rPr>
              <w:t>Quelle action traite directement cette cause ?</w:t>
            </w:r>
          </w:p>
        </w:tc>
      </w:tr>
      <w:tr>
        <w:tc>
          <w:tcPr>
            <w:tcW w:type="dxa" w:w="5100"/>
            <w:vAlign w:val="center"/>
          </w:tcPr>
          <w:p>
            <w:r/>
            <w:r>
              <w:rPr>
                <w:b w:val="0"/>
                <w:sz w:val="16"/>
              </w:rPr>
              <w:t>6</w:t>
            </w:r>
          </w:p>
        </w:tc>
        <w:tc>
          <w:tcPr>
            <w:tcW w:type="dxa" w:w="5100"/>
            <w:vAlign w:val="center"/>
          </w:tcPr>
          <w:p>
            <w:r/>
            <w:r>
              <w:rPr>
                <w:b w:val="0"/>
                <w:sz w:val="16"/>
              </w:rPr>
              <w:t>Quel indicateur montrera que la situation progresse ?</w:t>
            </w:r>
          </w:p>
        </w:tc>
      </w:tr>
    </w:tbl>
    <w:p>
      <w:r>
        <w:t>Le raisonnement doit rester visible : un plan de développement crédible permet de relier chaque action à une cause et à un résultat attendu.</w:t>
      </w:r>
    </w:p>
    <w:p>
      <w:pPr>
        <w:pStyle w:val="Heading1"/>
      </w:pPr>
      <w:r>
        <w:t>13. MESSAGE CLÉ DE LA SÉQUENCE</w:t>
      </w:r>
    </w:p>
    <w:p>
      <w:r>
        <w:rPr>
          <w:b/>
        </w:rPr>
        <w:t>À retenir</w:t>
      </w:r>
    </w:p>
    <w:p>
      <w:r>
        <w:rPr>
          <w:b/>
        </w:rPr>
        <w:t>Traiter la mauvaise cause produit de l’activité, pas du progrès. Le développement efficace commence par un diagnostic rigoureux.</w:t>
      </w:r>
    </w:p>
    <w:p>
      <w:r>
        <w:rPr>
          <w:b/>
          <w:sz w:val="22"/>
        </w:rPr>
        <w:t>ATTENDU → OBSERVÉ → ÉCART → CAUSES → CAUSE VALIDÉE → ACTION → INDICATEUR → REVUE</w:t>
      </w:r>
    </w:p>
    <w:p>
      <w:pPr>
        <w:pStyle w:val="Heading1"/>
      </w:pPr>
      <w:r>
        <w:t>14. TRANSITION VERS LA SÉQUENCE 6</w:t>
      </w:r>
    </w:p>
    <w:p>
      <w:r>
        <w:t>Les évaluations et PID produisent maintenant des données. La Séquence 6 montre comment les consolider et les transformer en intelligence de management et en décisions RH.</w:t>
      </w:r>
    </w:p>
    <w:p>
      <w:pPr>
        <w:pStyle w:val="Heading1"/>
      </w:pPr>
      <w:r>
        <w:t>15. REPÈRES POUR LE FORMATEUR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Moment</w:t>
            </w:r>
          </w:p>
        </w:tc>
        <w:tc>
          <w:tcPr>
            <w:tcW w:type="dxa" w:w="5100"/>
            <w:vAlign w:val="center"/>
            <w:shd w:fill="D9EAD3"/>
          </w:tcPr>
          <w:p>
            <w:r/>
            <w:r>
              <w:rPr>
                <w:b/>
                <w:sz w:val="16"/>
              </w:rPr>
              <w:t>Consigne</w:t>
            </w:r>
          </w:p>
        </w:tc>
      </w:tr>
      <w:tr>
        <w:tc>
          <w:tcPr>
            <w:tcW w:type="dxa" w:w="5100"/>
            <w:vAlign w:val="center"/>
          </w:tcPr>
          <w:p>
            <w:r/>
            <w:r>
              <w:rPr>
                <w:b w:val="0"/>
                <w:sz w:val="16"/>
              </w:rPr>
              <w:t>Ouverture</w:t>
            </w:r>
          </w:p>
        </w:tc>
        <w:tc>
          <w:tcPr>
            <w:tcW w:type="dxa" w:w="5100"/>
            <w:vAlign w:val="center"/>
          </w:tcPr>
          <w:p>
            <w:r/>
            <w:r>
              <w:rPr>
                <w:b w:val="0"/>
                <w:sz w:val="16"/>
              </w:rPr>
              <w:t>Présenter un problème et demander spontanément des solutions ; relever celles proposées avant tout diagnostic.</w:t>
            </w:r>
          </w:p>
        </w:tc>
      </w:tr>
      <w:tr>
        <w:tc>
          <w:tcPr>
            <w:tcW w:type="dxa" w:w="5100"/>
            <w:vAlign w:val="center"/>
          </w:tcPr>
          <w:p>
            <w:r/>
            <w:r>
              <w:rPr>
                <w:b w:val="0"/>
                <w:sz w:val="16"/>
              </w:rPr>
              <w:t>Causes</w:t>
            </w:r>
          </w:p>
        </w:tc>
        <w:tc>
          <w:tcPr>
            <w:tcW w:type="dxa" w:w="5100"/>
            <w:vAlign w:val="center"/>
          </w:tcPr>
          <w:p>
            <w:r/>
            <w:r>
              <w:rPr>
                <w:b w:val="0"/>
                <w:sz w:val="16"/>
              </w:rPr>
              <w:t>Faire classer les hypothèses par familles : compétence, moyens, organisation, management, etc.</w:t>
            </w:r>
          </w:p>
        </w:tc>
      </w:tr>
      <w:tr>
        <w:tc>
          <w:tcPr>
            <w:tcW w:type="dxa" w:w="5100"/>
            <w:vAlign w:val="center"/>
          </w:tcPr>
          <w:p>
            <w:r/>
            <w:r>
              <w:rPr>
                <w:b w:val="0"/>
                <w:sz w:val="16"/>
              </w:rPr>
              <w:t>Formation</w:t>
            </w:r>
          </w:p>
        </w:tc>
        <w:tc>
          <w:tcPr>
            <w:tcW w:type="dxa" w:w="5100"/>
            <w:vAlign w:val="center"/>
          </w:tcPr>
          <w:p>
            <w:r/>
            <w:r>
              <w:rPr>
                <w:b w:val="0"/>
                <w:sz w:val="16"/>
              </w:rPr>
              <w:t>Demander à chaque groupe de défendre un cas où la formation n’est pas la bonne réponse.</w:t>
            </w:r>
          </w:p>
        </w:tc>
      </w:tr>
      <w:tr>
        <w:tc>
          <w:tcPr>
            <w:tcW w:type="dxa" w:w="5100"/>
            <w:vAlign w:val="center"/>
          </w:tcPr>
          <w:p>
            <w:r/>
            <w:r>
              <w:rPr>
                <w:b w:val="0"/>
                <w:sz w:val="16"/>
              </w:rPr>
              <w:t>Cas pratique</w:t>
            </w:r>
          </w:p>
        </w:tc>
        <w:tc>
          <w:tcPr>
            <w:tcW w:type="dxa" w:w="5100"/>
            <w:vAlign w:val="center"/>
          </w:tcPr>
          <w:p>
            <w:r/>
            <w:r>
              <w:rPr>
                <w:b w:val="0"/>
                <w:sz w:val="16"/>
              </w:rPr>
              <w:t>Faire traiter les causes systémiques avant la compétence individuelle.</w:t>
            </w:r>
          </w:p>
        </w:tc>
      </w:tr>
      <w:tr>
        <w:tc>
          <w:tcPr>
            <w:tcW w:type="dxa" w:w="5100"/>
            <w:vAlign w:val="center"/>
          </w:tcPr>
          <w:p>
            <w:r/>
            <w:r>
              <w:rPr>
                <w:b w:val="0"/>
                <w:sz w:val="16"/>
              </w:rPr>
              <w:t>PID</w:t>
            </w:r>
          </w:p>
        </w:tc>
        <w:tc>
          <w:tcPr>
            <w:tcW w:type="dxa" w:w="5100"/>
            <w:vAlign w:val="center"/>
          </w:tcPr>
          <w:p>
            <w:r/>
            <w:r>
              <w:rPr>
                <w:b w:val="0"/>
                <w:sz w:val="16"/>
              </w:rPr>
              <w:t>Limiter volontairement le nombre d’actions et exiger un indicateur pour chacune.</w:t>
            </w:r>
          </w:p>
        </w:tc>
      </w:tr>
      <w:tr>
        <w:tc>
          <w:tcPr>
            <w:tcW w:type="dxa" w:w="5100"/>
            <w:vAlign w:val="center"/>
          </w:tcPr>
          <w:p>
            <w:r/>
            <w:r>
              <w:rPr>
                <w:b w:val="0"/>
                <w:sz w:val="16"/>
              </w:rPr>
              <w:t>Clôture</w:t>
            </w:r>
          </w:p>
        </w:tc>
        <w:tc>
          <w:tcPr>
            <w:tcW w:type="dxa" w:w="5100"/>
            <w:vAlign w:val="center"/>
          </w:tcPr>
          <w:p>
            <w:r/>
            <w:r>
              <w:rPr>
                <w:b w:val="0"/>
                <w:sz w:val="16"/>
              </w:rPr>
              <w:t>Faire mémoriser : « Quelle cause précise cette action traite-t-elle ? ».</w:t>
            </w:r>
          </w:p>
        </w:tc>
      </w:tr>
    </w:tbl>
    <w:sectPr w:rsidR="00FC693F" w:rsidRPr="0006063C" w:rsidSect="00034616">
      <w:footerReference w:type="default" r:id="rId9"/>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AACHL | Module 2 - Diagnostiquer les Écarts &amp; Construire les Plans de Développement | Séquence 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