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ACADÉMIE AFRICAINE DU CAPITAL HUMAIN &amp; DU LEADERSHIP</w:t>
        <w:br/>
        <w:t>(AACHL)</w:t>
      </w:r>
    </w:p>
    <w:p/>
    <w:p>
      <w:pPr>
        <w:jc w:val="center"/>
      </w:pPr>
      <w:r>
        <w:rPr>
          <w:b/>
          <w:sz w:val="36"/>
        </w:rPr>
        <w:t>MODULE 2 - ÉVALUATION &amp; MANAGEMENT DE LA PERFORMANCE</w:t>
      </w:r>
    </w:p>
    <w:p>
      <w:pPr>
        <w:jc w:val="center"/>
      </w:pPr>
      <w:r>
        <w:rPr>
          <w:b/>
          <w:sz w:val="44"/>
        </w:rPr>
        <w:t>SÉQUENCE 3</w:t>
        <w:br/>
        <w:t>CONSTRUIRE LE SYSTÈME &amp; LA GRILLE D’ÉVALUATION</w:t>
      </w:r>
    </w:p>
    <w:p>
      <w:pPr>
        <w:jc w:val="center"/>
      </w:pPr>
      <w:r>
        <w:rPr>
          <w:i/>
          <w:sz w:val="22"/>
        </w:rPr>
        <w:t>Support pédagogique détaillé - Niveau cabinet international</w:t>
      </w:r>
    </w:p>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Rubrique</w:t>
            </w:r>
          </w:p>
        </w:tc>
        <w:tc>
          <w:tcPr>
            <w:tcW w:type="dxa" w:w="5100"/>
            <w:vAlign w:val="center"/>
            <w:shd w:fill="D9EAD3"/>
          </w:tcPr>
          <w:p>
            <w:r/>
            <w:r>
              <w:rPr>
                <w:b/>
                <w:sz w:val="16"/>
              </w:rPr>
              <w:t>Données</w:t>
            </w:r>
          </w:p>
        </w:tc>
      </w:tr>
      <w:tr>
        <w:tc>
          <w:tcPr>
            <w:tcW w:type="dxa" w:w="5100"/>
            <w:vAlign w:val="center"/>
          </w:tcPr>
          <w:p>
            <w:r/>
            <w:r>
              <w:rPr>
                <w:b w:val="0"/>
                <w:sz w:val="16"/>
              </w:rPr>
              <w:t>Position</w:t>
            </w:r>
          </w:p>
        </w:tc>
        <w:tc>
          <w:tcPr>
            <w:tcW w:type="dxa" w:w="5100"/>
            <w:vAlign w:val="center"/>
          </w:tcPr>
          <w:p>
            <w:r/>
            <w:r>
              <w:rPr>
                <w:b w:val="0"/>
                <w:sz w:val="16"/>
              </w:rPr>
              <w:t>Module 2 - Séquence 3</w:t>
            </w:r>
          </w:p>
        </w:tc>
      </w:tr>
      <w:tr>
        <w:tc>
          <w:tcPr>
            <w:tcW w:type="dxa" w:w="5100"/>
            <w:vAlign w:val="center"/>
          </w:tcPr>
          <w:p>
            <w:r/>
            <w:r>
              <w:rPr>
                <w:b w:val="0"/>
                <w:sz w:val="16"/>
              </w:rPr>
              <w:t>Finalité</w:t>
            </w:r>
          </w:p>
        </w:tc>
        <w:tc>
          <w:tcPr>
            <w:tcW w:type="dxa" w:w="5100"/>
            <w:vAlign w:val="center"/>
          </w:tcPr>
          <w:p>
            <w:r/>
            <w:r>
              <w:rPr>
                <w:b w:val="0"/>
                <w:sz w:val="16"/>
              </w:rPr>
              <w:t>Construire une évaluation structurée, explicite et cohérente combinant résultats, compétences et comportements observables.</w:t>
            </w:r>
          </w:p>
        </w:tc>
      </w:tr>
      <w:tr>
        <w:tc>
          <w:tcPr>
            <w:tcW w:type="dxa" w:w="5100"/>
            <w:vAlign w:val="center"/>
          </w:tcPr>
          <w:p>
            <w:r/>
            <w:r>
              <w:rPr>
                <w:b w:val="0"/>
                <w:sz w:val="16"/>
              </w:rPr>
              <w:t>Méthodes</w:t>
            </w:r>
          </w:p>
        </w:tc>
        <w:tc>
          <w:tcPr>
            <w:tcW w:type="dxa" w:w="5100"/>
            <w:vAlign w:val="center"/>
          </w:tcPr>
          <w:p>
            <w:r/>
            <w:r>
              <w:rPr>
                <w:b w:val="0"/>
                <w:sz w:val="16"/>
              </w:rPr>
              <w:t>Apports structurés, exemples, cas pratique, exercice collectif, mini-exercice et outil professionnel.</w:t>
            </w:r>
          </w:p>
        </w:tc>
      </w:tr>
      <w:tr>
        <w:tc>
          <w:tcPr>
            <w:tcW w:type="dxa" w:w="5100"/>
            <w:vAlign w:val="center"/>
          </w:tcPr>
          <w:p>
            <w:r/>
            <w:r>
              <w:rPr>
                <w:b w:val="0"/>
                <w:sz w:val="16"/>
              </w:rPr>
              <w:t>Production attendue</w:t>
            </w:r>
          </w:p>
        </w:tc>
        <w:tc>
          <w:tcPr>
            <w:tcW w:type="dxa" w:w="5100"/>
            <w:vAlign w:val="center"/>
          </w:tcPr>
          <w:p>
            <w:r/>
            <w:r>
              <w:rPr>
                <w:b w:val="0"/>
                <w:sz w:val="16"/>
              </w:rPr>
              <w:t>Grille d’évaluation complète avec critères, échelle, pondération, preuves attendues et règles de calibration.</w:t>
            </w:r>
          </w:p>
        </w:tc>
      </w:tr>
    </w:tbl>
    <w:p>
      <w:pPr>
        <w:pStyle w:val="Heading2"/>
      </w:pPr>
      <w:r>
        <w:t>Accroche pédagogique</w:t>
      </w:r>
    </w:p>
    <w:p>
      <w:r>
        <w:t>L’équité d’une évaluation ne dépend pas d’un beau formulaire. Elle dépend de critères connus, de preuves suffisantes, d’une échelle comprise de la même manière et d’une application cohérente entre évaluateurs.</w:t>
      </w:r>
    </w:p>
    <w:p>
      <w:pPr>
        <w:pStyle w:val="Heading2"/>
      </w:pPr>
      <w:r>
        <w:t>Question d’ouverture</w:t>
      </w:r>
    </w:p>
    <w:p>
      <w:r>
        <w:rPr>
          <w:b/>
        </w:rPr>
        <w:t>Comment construire une grille qui réduise la subjectivité sans transformer l’évaluation en mécanique aveugle ?</w:t>
      </w:r>
    </w:p>
    <w:p>
      <w:r>
        <w:br w:type="page"/>
      </w:r>
    </w:p>
    <w:p>
      <w:pPr>
        <w:pStyle w:val="Heading1"/>
      </w:pPr>
      <w:r>
        <w:t>1. OBJECTIF DE LA SÉQUENCE</w:t>
      </w:r>
    </w:p>
    <w:p>
      <w:r>
        <w:t>À l’issue de cette séquence, les participants devront savoir construire une architecture d’évaluation adaptée aux postes, définir des critères observables, une échelle de notation, des pondérations et des règles de calibration.</w:t>
      </w:r>
    </w:p>
    <w:p>
      <w:pPr>
        <w:pStyle w:val="ListBullet"/>
        <w:spacing w:after="60"/>
      </w:pPr>
      <w:r>
        <w:t>Définir les dimensions d’une évaluation équilibrée.</w:t>
      </w:r>
    </w:p>
    <w:p>
      <w:pPr>
        <w:pStyle w:val="ListBullet"/>
        <w:spacing w:after="60"/>
      </w:pPr>
      <w:r>
        <w:t>Transformer des notions générales en critères observables.</w:t>
      </w:r>
    </w:p>
    <w:p>
      <w:pPr>
        <w:pStyle w:val="ListBullet"/>
        <w:spacing w:after="60"/>
      </w:pPr>
      <w:r>
        <w:t>Construire une échelle de notation avec des repères factuels.</w:t>
      </w:r>
    </w:p>
    <w:p>
      <w:pPr>
        <w:pStyle w:val="ListBullet"/>
        <w:spacing w:after="60"/>
      </w:pPr>
      <w:r>
        <w:t>Définir des pondérations cohérentes.</w:t>
      </w:r>
    </w:p>
    <w:p>
      <w:pPr>
        <w:pStyle w:val="ListBullet"/>
        <w:spacing w:after="60"/>
      </w:pPr>
      <w:r>
        <w:t>Calculer et interpréter un score pondéré avec prudence.</w:t>
      </w:r>
    </w:p>
    <w:p>
      <w:pPr>
        <w:pStyle w:val="ListBullet"/>
        <w:spacing w:after="60"/>
      </w:pPr>
      <w:r>
        <w:t>Identifier les principaux biais d’évaluation.</w:t>
      </w:r>
    </w:p>
    <w:p>
      <w:pPr>
        <w:pStyle w:val="ListBullet"/>
        <w:spacing w:after="60"/>
      </w:pPr>
      <w:r>
        <w:t>Organiser la calibration entre managers.</w:t>
      </w:r>
    </w:p>
    <w:p>
      <w:pPr>
        <w:pStyle w:val="Heading1"/>
      </w:pPr>
      <w:r>
        <w:t>2. LES TROIS DIMENSIONS D’UNE ÉVALUATION ÉQUILIBRÉE</w:t>
      </w:r>
    </w:p>
    <w:p>
      <w:r>
        <w:t>Une architecture fréquente combine résultats, compétences et comportements. Les résultats répondent à « quoi a été obtenu ? » ; les compétences à « quelles capacités ont été mobilisées ? » ; les comportements à « comment la contribution a-t-elle été réalisée ? ».</w:t>
      </w:r>
    </w:p>
    <w:tbl>
      <w:tblPr>
        <w:tblStyle w:val="TableGrid"/>
        <w:tblW w:type="auto" w:w="0"/>
        <w:jc w:val="center"/>
        <w:tblLook w:firstColumn="1" w:firstRow="1" w:lastColumn="0" w:lastRow="0" w:noHBand="0" w:noVBand="1" w:val="04A0"/>
      </w:tblPr>
      <w:tblGrid>
        <w:gridCol w:w="3400"/>
        <w:gridCol w:w="3400"/>
        <w:gridCol w:w="3400"/>
      </w:tblGrid>
      <w:tr>
        <w:tc>
          <w:tcPr>
            <w:tcW w:type="dxa" w:w="3400"/>
            <w:vAlign w:val="center"/>
            <w:shd w:fill="D9EAD3"/>
          </w:tcPr>
          <w:p>
            <w:r/>
            <w:r>
              <w:rPr>
                <w:b/>
                <w:sz w:val="16"/>
              </w:rPr>
              <w:t>Dimension</w:t>
            </w:r>
          </w:p>
        </w:tc>
        <w:tc>
          <w:tcPr>
            <w:tcW w:type="dxa" w:w="3400"/>
            <w:vAlign w:val="center"/>
            <w:shd w:fill="D9EAD3"/>
          </w:tcPr>
          <w:p>
            <w:r/>
            <w:r>
              <w:rPr>
                <w:b/>
                <w:sz w:val="16"/>
              </w:rPr>
              <w:t>Question</w:t>
            </w:r>
          </w:p>
        </w:tc>
        <w:tc>
          <w:tcPr>
            <w:tcW w:type="dxa" w:w="3400"/>
            <w:vAlign w:val="center"/>
            <w:shd w:fill="D9EAD3"/>
          </w:tcPr>
          <w:p>
            <w:r/>
            <w:r>
              <w:rPr>
                <w:b/>
                <w:sz w:val="16"/>
              </w:rPr>
              <w:t>Exemples de preuve</w:t>
            </w:r>
          </w:p>
        </w:tc>
      </w:tr>
      <w:tr>
        <w:tc>
          <w:tcPr>
            <w:tcW w:type="dxa" w:w="3400"/>
            <w:vAlign w:val="center"/>
          </w:tcPr>
          <w:p>
            <w:r/>
            <w:r>
              <w:rPr>
                <w:b w:val="0"/>
                <w:sz w:val="16"/>
              </w:rPr>
              <w:t>Résultats</w:t>
            </w:r>
          </w:p>
        </w:tc>
        <w:tc>
          <w:tcPr>
            <w:tcW w:type="dxa" w:w="3400"/>
            <w:vAlign w:val="center"/>
          </w:tcPr>
          <w:p>
            <w:r/>
            <w:r>
              <w:rPr>
                <w:b w:val="0"/>
                <w:sz w:val="16"/>
              </w:rPr>
              <w:t>Quoi ?</w:t>
            </w:r>
          </w:p>
        </w:tc>
        <w:tc>
          <w:tcPr>
            <w:tcW w:type="dxa" w:w="3400"/>
            <w:vAlign w:val="center"/>
          </w:tcPr>
          <w:p>
            <w:r/>
            <w:r>
              <w:rPr>
                <w:b w:val="0"/>
                <w:sz w:val="16"/>
              </w:rPr>
              <w:t>KPI, livrables, délais, qualité.</w:t>
            </w:r>
          </w:p>
        </w:tc>
      </w:tr>
      <w:tr>
        <w:tc>
          <w:tcPr>
            <w:tcW w:type="dxa" w:w="3400"/>
            <w:vAlign w:val="center"/>
          </w:tcPr>
          <w:p>
            <w:r/>
            <w:r>
              <w:rPr>
                <w:b w:val="0"/>
                <w:sz w:val="16"/>
              </w:rPr>
              <w:t>Compétences</w:t>
            </w:r>
          </w:p>
        </w:tc>
        <w:tc>
          <w:tcPr>
            <w:tcW w:type="dxa" w:w="3400"/>
            <w:vAlign w:val="center"/>
          </w:tcPr>
          <w:p>
            <w:r/>
            <w:r>
              <w:rPr>
                <w:b w:val="0"/>
                <w:sz w:val="16"/>
              </w:rPr>
              <w:t>Avec quelles capacités ?</w:t>
            </w:r>
          </w:p>
        </w:tc>
        <w:tc>
          <w:tcPr>
            <w:tcW w:type="dxa" w:w="3400"/>
            <w:vAlign w:val="center"/>
          </w:tcPr>
          <w:p>
            <w:r/>
            <w:r>
              <w:rPr>
                <w:b w:val="0"/>
                <w:sz w:val="16"/>
              </w:rPr>
              <w:t>Maîtrise technique, résolution de problème, planification.</w:t>
            </w:r>
          </w:p>
        </w:tc>
      </w:tr>
      <w:tr>
        <w:tc>
          <w:tcPr>
            <w:tcW w:type="dxa" w:w="3400"/>
            <w:vAlign w:val="center"/>
          </w:tcPr>
          <w:p>
            <w:r/>
            <w:r>
              <w:rPr>
                <w:b w:val="0"/>
                <w:sz w:val="16"/>
              </w:rPr>
              <w:t>Comportements</w:t>
            </w:r>
          </w:p>
        </w:tc>
        <w:tc>
          <w:tcPr>
            <w:tcW w:type="dxa" w:w="3400"/>
            <w:vAlign w:val="center"/>
          </w:tcPr>
          <w:p>
            <w:r/>
            <w:r>
              <w:rPr>
                <w:b w:val="0"/>
                <w:sz w:val="16"/>
              </w:rPr>
              <w:t>Comment ?</w:t>
            </w:r>
          </w:p>
        </w:tc>
        <w:tc>
          <w:tcPr>
            <w:tcW w:type="dxa" w:w="3400"/>
            <w:vAlign w:val="center"/>
          </w:tcPr>
          <w:p>
            <w:r/>
            <w:r>
              <w:rPr>
                <w:b w:val="0"/>
                <w:sz w:val="16"/>
              </w:rPr>
              <w:t>Coopération, responsabilité, communication, respect des règles.</w:t>
            </w:r>
          </w:p>
        </w:tc>
      </w:tr>
    </w:tbl>
    <w:p>
      <w:pPr>
        <w:pStyle w:val="Heading1"/>
      </w:pPr>
      <w:r>
        <w:t>3. DES CRITÈRES OBSERVABLES ET NON DES JUGEMENTS</w:t>
      </w:r>
    </w:p>
    <w:p>
      <w:r>
        <w:t>« Professionnel », « motivé » ou « bon leader » sont trop généraux s’ils ne sont pas traduits en faits observables. Le critère doit décrire une attente professionnelle et permettre de distinguer les niveaux de maîtrise.</w:t>
      </w:r>
    </w:p>
    <w:p>
      <w:pPr>
        <w:pStyle w:val="ListBullet"/>
        <w:spacing w:after="60"/>
      </w:pPr>
      <w:r>
        <w:t>Décrire un comportement observable.</w:t>
      </w:r>
    </w:p>
    <w:p>
      <w:pPr>
        <w:pStyle w:val="ListBullet"/>
        <w:spacing w:after="60"/>
      </w:pPr>
      <w:r>
        <w:t>Préciser le contexte ou le résultat attendu.</w:t>
      </w:r>
    </w:p>
    <w:p>
      <w:pPr>
        <w:pStyle w:val="ListBullet"/>
        <w:spacing w:after="60"/>
      </w:pPr>
      <w:r>
        <w:t>Éviter les traits de personnalité.</w:t>
      </w:r>
    </w:p>
    <w:p>
      <w:pPr>
        <w:pStyle w:val="ListBullet"/>
        <w:spacing w:after="60"/>
      </w:pPr>
      <w:r>
        <w:t>Associer des exemples de preuves.</w:t>
      </w:r>
    </w:p>
    <w:p>
      <w:pPr>
        <w:pStyle w:val="Heading1"/>
      </w:pPr>
      <w:r>
        <w:t>4. CONSTRUIRE UNE ÉCHELLE DE NOTATION</w:t>
      </w:r>
    </w:p>
    <w:p>
      <w:r>
        <w:t>Une note sans définition commune produit des interprétations différentes. Une échelle doit préciser ce que signifie chaque niveau. L’objectif n’est pas d’éliminer tout jugement professionnel, mais de le rendre explicable et comparable.</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Niveau</w:t>
            </w:r>
          </w:p>
        </w:tc>
        <w:tc>
          <w:tcPr>
            <w:tcW w:type="dxa" w:w="5100"/>
            <w:vAlign w:val="center"/>
            <w:shd w:fill="D9EAD3"/>
          </w:tcPr>
          <w:p>
            <w:r/>
            <w:r>
              <w:rPr>
                <w:b/>
                <w:sz w:val="16"/>
              </w:rPr>
              <w:t>Repère pédagogique</w:t>
            </w:r>
          </w:p>
        </w:tc>
      </w:tr>
      <w:tr>
        <w:tc>
          <w:tcPr>
            <w:tcW w:type="dxa" w:w="5100"/>
            <w:vAlign w:val="center"/>
          </w:tcPr>
          <w:p>
            <w:r/>
            <w:r>
              <w:rPr>
                <w:b w:val="0"/>
                <w:sz w:val="16"/>
              </w:rPr>
              <w:t>1</w:t>
            </w:r>
          </w:p>
        </w:tc>
        <w:tc>
          <w:tcPr>
            <w:tcW w:type="dxa" w:w="5100"/>
            <w:vAlign w:val="center"/>
          </w:tcPr>
          <w:p>
            <w:r/>
            <w:r>
              <w:rPr>
                <w:b w:val="0"/>
                <w:sz w:val="16"/>
              </w:rPr>
              <w:t>Très insuffisant : écarts majeurs et répétés.</w:t>
            </w:r>
          </w:p>
        </w:tc>
      </w:tr>
      <w:tr>
        <w:tc>
          <w:tcPr>
            <w:tcW w:type="dxa" w:w="5100"/>
            <w:vAlign w:val="center"/>
          </w:tcPr>
          <w:p>
            <w:r/>
            <w:r>
              <w:rPr>
                <w:b w:val="0"/>
                <w:sz w:val="16"/>
              </w:rPr>
              <w:t>2</w:t>
            </w:r>
          </w:p>
        </w:tc>
        <w:tc>
          <w:tcPr>
            <w:tcW w:type="dxa" w:w="5100"/>
            <w:vAlign w:val="center"/>
          </w:tcPr>
          <w:p>
            <w:r/>
            <w:r>
              <w:rPr>
                <w:b w:val="0"/>
                <w:sz w:val="16"/>
              </w:rPr>
              <w:t>Partiellement atteint : résultats ou comportements irréguliers.</w:t>
            </w:r>
          </w:p>
        </w:tc>
      </w:tr>
      <w:tr>
        <w:tc>
          <w:tcPr>
            <w:tcW w:type="dxa" w:w="5100"/>
            <w:vAlign w:val="center"/>
          </w:tcPr>
          <w:p>
            <w:r/>
            <w:r>
              <w:rPr>
                <w:b w:val="0"/>
                <w:sz w:val="16"/>
              </w:rPr>
              <w:t>3</w:t>
            </w:r>
          </w:p>
        </w:tc>
        <w:tc>
          <w:tcPr>
            <w:tcW w:type="dxa" w:w="5100"/>
            <w:vAlign w:val="center"/>
          </w:tcPr>
          <w:p>
            <w:r/>
            <w:r>
              <w:rPr>
                <w:b w:val="0"/>
                <w:sz w:val="16"/>
              </w:rPr>
              <w:t>Atteint : niveau attendu de manière fiable.</w:t>
            </w:r>
          </w:p>
        </w:tc>
      </w:tr>
      <w:tr>
        <w:tc>
          <w:tcPr>
            <w:tcW w:type="dxa" w:w="5100"/>
            <w:vAlign w:val="center"/>
          </w:tcPr>
          <w:p>
            <w:r/>
            <w:r>
              <w:rPr>
                <w:b w:val="0"/>
                <w:sz w:val="16"/>
              </w:rPr>
              <w:t>4</w:t>
            </w:r>
          </w:p>
        </w:tc>
        <w:tc>
          <w:tcPr>
            <w:tcW w:type="dxa" w:w="5100"/>
            <w:vAlign w:val="center"/>
          </w:tcPr>
          <w:p>
            <w:r/>
            <w:r>
              <w:rPr>
                <w:b w:val="0"/>
                <w:sz w:val="16"/>
              </w:rPr>
              <w:t>Dépasse les attentes : contribution supérieure et régulière.</w:t>
            </w:r>
          </w:p>
        </w:tc>
      </w:tr>
      <w:tr>
        <w:tc>
          <w:tcPr>
            <w:tcW w:type="dxa" w:w="5100"/>
            <w:vAlign w:val="center"/>
          </w:tcPr>
          <w:p>
            <w:r/>
            <w:r>
              <w:rPr>
                <w:b w:val="0"/>
                <w:sz w:val="16"/>
              </w:rPr>
              <w:t>5</w:t>
            </w:r>
          </w:p>
        </w:tc>
        <w:tc>
          <w:tcPr>
            <w:tcW w:type="dxa" w:w="5100"/>
            <w:vAlign w:val="center"/>
          </w:tcPr>
          <w:p>
            <w:r/>
            <w:r>
              <w:rPr>
                <w:b w:val="0"/>
                <w:sz w:val="16"/>
              </w:rPr>
              <w:t>Exceptionnel : impact remarquable, durable et démontré.</w:t>
            </w:r>
          </w:p>
        </w:tc>
      </w:tr>
    </w:tbl>
    <w:p>
      <w:pPr>
        <w:pStyle w:val="Heading1"/>
      </w:pPr>
      <w:r>
        <w:t>5. PONDÉRER SANS DÉFORMER</w:t>
      </w:r>
    </w:p>
    <w:p>
      <w:r>
        <w:t>La pondération traduit l’importance relative des dimensions. Elle doit être définie avant l’évaluation, cohérente avec le poste et stable pendant la période sauf évolution formalisée des responsabilités. Une pondération ne doit pas servir à manipuler a posteriori un résultat.</w:t>
      </w:r>
    </w:p>
    <w:p>
      <w:pPr>
        <w:pStyle w:val="ListBullet"/>
        <w:spacing w:after="60"/>
      </w:pPr>
      <w:r>
        <w:t>La somme des poids doit être égale à 100 %.</w:t>
      </w:r>
    </w:p>
    <w:p>
      <w:pPr>
        <w:pStyle w:val="ListBullet"/>
        <w:spacing w:after="60"/>
      </w:pPr>
      <w:r>
        <w:t>Les dimensions critiques du poste doivent peser davantage.</w:t>
      </w:r>
    </w:p>
    <w:p>
      <w:pPr>
        <w:pStyle w:val="ListBullet"/>
        <w:spacing w:after="60"/>
      </w:pPr>
      <w:r>
        <w:t>La logique doit être expliquée aux évaluateurs et collaborateurs.</w:t>
      </w:r>
    </w:p>
    <w:p>
      <w:pPr>
        <w:pStyle w:val="Heading1"/>
      </w:pPr>
      <w:r>
        <w:t>6. LES PRINCIPAUX BIAIS D’ÉVALUATION</w:t>
      </w:r>
    </w:p>
    <w:p>
      <w:r>
        <w:t>Même une bonne grille peut être mal utilisée. Les biais les plus fréquents sont l’effet de récence, l’effet de halo, l’indulgence, la sévérité, la tendance centrale, la similarité et la comparaison entre personnes plutôt qu’avec les critères.</w:t>
      </w:r>
    </w:p>
    <w:tbl>
      <w:tblPr>
        <w:tblStyle w:val="TableGrid"/>
        <w:tblW w:type="auto" w:w="0"/>
        <w:jc w:val="center"/>
        <w:tblLook w:firstColumn="1" w:firstRow="1" w:lastColumn="0" w:lastRow="0" w:noHBand="0" w:noVBand="1" w:val="04A0"/>
      </w:tblPr>
      <w:tblGrid>
        <w:gridCol w:w="3400"/>
        <w:gridCol w:w="3400"/>
        <w:gridCol w:w="3400"/>
      </w:tblGrid>
      <w:tr>
        <w:tc>
          <w:tcPr>
            <w:tcW w:type="dxa" w:w="3400"/>
            <w:vAlign w:val="center"/>
            <w:shd w:fill="D9EAD3"/>
          </w:tcPr>
          <w:p>
            <w:r/>
            <w:r>
              <w:rPr>
                <w:b/>
                <w:sz w:val="16"/>
              </w:rPr>
              <w:t>Biais</w:t>
            </w:r>
          </w:p>
        </w:tc>
        <w:tc>
          <w:tcPr>
            <w:tcW w:type="dxa" w:w="3400"/>
            <w:vAlign w:val="center"/>
            <w:shd w:fill="D9EAD3"/>
          </w:tcPr>
          <w:p>
            <w:r/>
            <w:r>
              <w:rPr>
                <w:b/>
                <w:sz w:val="16"/>
              </w:rPr>
              <w:t>Risque</w:t>
            </w:r>
          </w:p>
        </w:tc>
        <w:tc>
          <w:tcPr>
            <w:tcW w:type="dxa" w:w="3400"/>
            <w:vAlign w:val="center"/>
            <w:shd w:fill="D9EAD3"/>
          </w:tcPr>
          <w:p>
            <w:r/>
            <w:r>
              <w:rPr>
                <w:b/>
                <w:sz w:val="16"/>
              </w:rPr>
              <w:t>Réponse</w:t>
            </w:r>
          </w:p>
        </w:tc>
      </w:tr>
      <w:tr>
        <w:tc>
          <w:tcPr>
            <w:tcW w:type="dxa" w:w="3400"/>
            <w:vAlign w:val="center"/>
          </w:tcPr>
          <w:p>
            <w:r/>
            <w:r>
              <w:rPr>
                <w:b w:val="0"/>
                <w:sz w:val="16"/>
              </w:rPr>
              <w:t>Récence</w:t>
            </w:r>
          </w:p>
        </w:tc>
        <w:tc>
          <w:tcPr>
            <w:tcW w:type="dxa" w:w="3400"/>
            <w:vAlign w:val="center"/>
          </w:tcPr>
          <w:p>
            <w:r/>
            <w:r>
              <w:rPr>
                <w:b w:val="0"/>
                <w:sz w:val="16"/>
              </w:rPr>
              <w:t>Surpondérer les dernières semaines.</w:t>
            </w:r>
          </w:p>
        </w:tc>
        <w:tc>
          <w:tcPr>
            <w:tcW w:type="dxa" w:w="3400"/>
            <w:vAlign w:val="center"/>
          </w:tcPr>
          <w:p>
            <w:r/>
            <w:r>
              <w:rPr>
                <w:b w:val="0"/>
                <w:sz w:val="16"/>
              </w:rPr>
              <w:t>Documenter les faits sur toute la période.</w:t>
            </w:r>
          </w:p>
        </w:tc>
      </w:tr>
      <w:tr>
        <w:tc>
          <w:tcPr>
            <w:tcW w:type="dxa" w:w="3400"/>
            <w:vAlign w:val="center"/>
          </w:tcPr>
          <w:p>
            <w:r/>
            <w:r>
              <w:rPr>
                <w:b w:val="0"/>
                <w:sz w:val="16"/>
              </w:rPr>
              <w:t>Halo</w:t>
            </w:r>
          </w:p>
        </w:tc>
        <w:tc>
          <w:tcPr>
            <w:tcW w:type="dxa" w:w="3400"/>
            <w:vAlign w:val="center"/>
          </w:tcPr>
          <w:p>
            <w:r/>
            <w:r>
              <w:rPr>
                <w:b w:val="0"/>
                <w:sz w:val="16"/>
              </w:rPr>
              <w:t>Un élément influence toute l’évaluation.</w:t>
            </w:r>
          </w:p>
        </w:tc>
        <w:tc>
          <w:tcPr>
            <w:tcW w:type="dxa" w:w="3400"/>
            <w:vAlign w:val="center"/>
          </w:tcPr>
          <w:p>
            <w:r/>
            <w:r>
              <w:rPr>
                <w:b w:val="0"/>
                <w:sz w:val="16"/>
              </w:rPr>
              <w:t>Évaluer critère par critère.</w:t>
            </w:r>
          </w:p>
        </w:tc>
      </w:tr>
      <w:tr>
        <w:tc>
          <w:tcPr>
            <w:tcW w:type="dxa" w:w="3400"/>
            <w:vAlign w:val="center"/>
          </w:tcPr>
          <w:p>
            <w:r/>
            <w:r>
              <w:rPr>
                <w:b w:val="0"/>
                <w:sz w:val="16"/>
              </w:rPr>
              <w:t>Indulgence / sévérité</w:t>
            </w:r>
          </w:p>
        </w:tc>
        <w:tc>
          <w:tcPr>
            <w:tcW w:type="dxa" w:w="3400"/>
            <w:vAlign w:val="center"/>
          </w:tcPr>
          <w:p>
            <w:r/>
            <w:r>
              <w:rPr>
                <w:b w:val="0"/>
                <w:sz w:val="16"/>
              </w:rPr>
              <w:t>Standards différents selon le manager.</w:t>
            </w:r>
          </w:p>
        </w:tc>
        <w:tc>
          <w:tcPr>
            <w:tcW w:type="dxa" w:w="3400"/>
            <w:vAlign w:val="center"/>
          </w:tcPr>
          <w:p>
            <w:r/>
            <w:r>
              <w:rPr>
                <w:b w:val="0"/>
                <w:sz w:val="16"/>
              </w:rPr>
              <w:t>Calibration et repères communs.</w:t>
            </w:r>
          </w:p>
        </w:tc>
      </w:tr>
      <w:tr>
        <w:tc>
          <w:tcPr>
            <w:tcW w:type="dxa" w:w="3400"/>
            <w:vAlign w:val="center"/>
          </w:tcPr>
          <w:p>
            <w:r/>
            <w:r>
              <w:rPr>
                <w:b w:val="0"/>
                <w:sz w:val="16"/>
              </w:rPr>
              <w:t>Similarité</w:t>
            </w:r>
          </w:p>
        </w:tc>
        <w:tc>
          <w:tcPr>
            <w:tcW w:type="dxa" w:w="3400"/>
            <w:vAlign w:val="center"/>
          </w:tcPr>
          <w:p>
            <w:r/>
            <w:r>
              <w:rPr>
                <w:b w:val="0"/>
                <w:sz w:val="16"/>
              </w:rPr>
              <w:t>Favoriser les profils proches de soi.</w:t>
            </w:r>
          </w:p>
        </w:tc>
        <w:tc>
          <w:tcPr>
            <w:tcW w:type="dxa" w:w="3400"/>
            <w:vAlign w:val="center"/>
          </w:tcPr>
          <w:p>
            <w:r/>
            <w:r>
              <w:rPr>
                <w:b w:val="0"/>
                <w:sz w:val="16"/>
              </w:rPr>
              <w:t>Revenir aux attentes observables.</w:t>
            </w:r>
          </w:p>
        </w:tc>
      </w:tr>
      <w:tr>
        <w:tc>
          <w:tcPr>
            <w:tcW w:type="dxa" w:w="3400"/>
            <w:vAlign w:val="center"/>
          </w:tcPr>
          <w:p>
            <w:r/>
            <w:r>
              <w:rPr>
                <w:b w:val="0"/>
                <w:sz w:val="16"/>
              </w:rPr>
              <w:t>Comparaison</w:t>
            </w:r>
          </w:p>
        </w:tc>
        <w:tc>
          <w:tcPr>
            <w:tcW w:type="dxa" w:w="3400"/>
            <w:vAlign w:val="center"/>
          </w:tcPr>
          <w:p>
            <w:r/>
            <w:r>
              <w:rPr>
                <w:b w:val="0"/>
                <w:sz w:val="16"/>
              </w:rPr>
              <w:t>Classer les personnes entre elles.</w:t>
            </w:r>
          </w:p>
        </w:tc>
        <w:tc>
          <w:tcPr>
            <w:tcW w:type="dxa" w:w="3400"/>
            <w:vAlign w:val="center"/>
          </w:tcPr>
          <w:p>
            <w:r/>
            <w:r>
              <w:rPr>
                <w:b w:val="0"/>
                <w:sz w:val="16"/>
              </w:rPr>
              <w:t>Comparer au standard du poste.</w:t>
            </w:r>
          </w:p>
        </w:tc>
      </w:tr>
    </w:tbl>
    <w:p>
      <w:pPr>
        <w:pStyle w:val="Heading1"/>
      </w:pPr>
      <w:r>
        <w:t>7. LA CALIBRATION COMME GARDE-FOU</w:t>
      </w:r>
    </w:p>
    <w:p>
      <w:r>
        <w:t>La calibration consiste à confronter les appréciations entre managers pour vérifier l’application cohérente des critères et la qualité des preuves. Elle ne doit pas devenir une obligation de répartir artificiellement les notes selon une courbe prédéterminée.</w:t>
      </w:r>
    </w:p>
    <w:p>
      <w:pPr>
        <w:pStyle w:val="ListBullet"/>
        <w:spacing w:after="60"/>
      </w:pPr>
      <w:r>
        <w:t>Préparer les preuves avant la réunion.</w:t>
      </w:r>
    </w:p>
    <w:p>
      <w:pPr>
        <w:pStyle w:val="ListBullet"/>
        <w:spacing w:after="60"/>
      </w:pPr>
      <w:r>
        <w:t>Comparer les interprétations des critères.</w:t>
      </w:r>
    </w:p>
    <w:p>
      <w:pPr>
        <w:pStyle w:val="ListBullet"/>
        <w:spacing w:after="60"/>
      </w:pPr>
      <w:r>
        <w:t>Questionner les écarts entre évaluateurs.</w:t>
      </w:r>
    </w:p>
    <w:p>
      <w:pPr>
        <w:pStyle w:val="ListBullet"/>
        <w:spacing w:after="60"/>
      </w:pPr>
      <w:r>
        <w:t>Documenter les ajustements et leur justification.</w:t>
      </w:r>
    </w:p>
    <w:p>
      <w:pPr>
        <w:pStyle w:val="Heading1"/>
      </w:pPr>
      <w:r>
        <w:t>8. CAS PRATIQUE - « Deux managers, deux standards »</w:t>
      </w:r>
    </w:p>
    <w:p>
      <w:pPr>
        <w:pStyle w:val="Heading2"/>
      </w:pPr>
      <w:r>
        <w:t>Situation</w:t>
      </w:r>
    </w:p>
    <w:p>
      <w:r>
        <w:t>Deux responsables évaluent des collaborateurs occupant des postes comparables. Le premier attribue rarement plus de 3/5 ; le second attribue presque toujours 4 ou 5. Les critères portent les mêmes intitulés, mais les niveaux de notation ne sont pas décrits et aucune calibration n’est organisée.</w:t>
      </w:r>
    </w:p>
    <w:p>
      <w:pPr>
        <w:pStyle w:val="Heading2"/>
      </w:pPr>
      <w:r>
        <w:t>Travail demandé</w:t>
      </w:r>
    </w:p>
    <w:p>
      <w:pPr>
        <w:pStyle w:val="ListBullet"/>
        <w:spacing w:after="60"/>
      </w:pPr>
      <w:r>
        <w:t>Quels risques d’équité et de crédibilité identifiez-vous ?</w:t>
      </w:r>
    </w:p>
    <w:p>
      <w:pPr>
        <w:pStyle w:val="ListBullet"/>
        <w:spacing w:after="60"/>
      </w:pPr>
      <w:r>
        <w:t>Quels biais peuvent expliquer la situation ?</w:t>
      </w:r>
    </w:p>
    <w:p>
      <w:pPr>
        <w:pStyle w:val="ListBullet"/>
        <w:spacing w:after="60"/>
      </w:pPr>
      <w:r>
        <w:t>Quelles informations faut-il comparer avant de modifier une note ?</w:t>
      </w:r>
    </w:p>
    <w:p>
      <w:pPr>
        <w:pStyle w:val="ListBullet"/>
        <w:spacing w:after="60"/>
      </w:pPr>
      <w:r>
        <w:t>Comment définir des repères communs ?</w:t>
      </w:r>
    </w:p>
    <w:p>
      <w:pPr>
        <w:pStyle w:val="ListBullet"/>
        <w:spacing w:after="60"/>
      </w:pPr>
      <w:r>
        <w:t>Comment organiser une calibration utile ?</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Dimension</w:t>
            </w:r>
          </w:p>
        </w:tc>
        <w:tc>
          <w:tcPr>
            <w:tcW w:type="dxa" w:w="5100"/>
            <w:vAlign w:val="center"/>
            <w:shd w:fill="D9EAD3"/>
          </w:tcPr>
          <w:p>
            <w:r/>
            <w:r>
              <w:rPr>
                <w:b/>
                <w:sz w:val="16"/>
              </w:rPr>
              <w:t>Analyse du groupe</w:t>
            </w:r>
          </w:p>
        </w:tc>
      </w:tr>
      <w:tr>
        <w:tc>
          <w:tcPr>
            <w:tcW w:type="dxa" w:w="5100"/>
            <w:vAlign w:val="center"/>
          </w:tcPr>
          <w:p>
            <w:r/>
            <w:r>
              <w:rPr>
                <w:b w:val="0"/>
                <w:sz w:val="16"/>
              </w:rPr>
              <w:t>Constat</w:t>
            </w:r>
          </w:p>
        </w:tc>
        <w:tc>
          <w:tcPr>
            <w:tcW w:type="dxa" w:w="5100"/>
            <w:vAlign w:val="center"/>
          </w:tcPr>
          <w:p>
            <w:r/>
            <w:r>
              <w:rPr>
                <w:b w:val="0"/>
                <w:sz w:val="16"/>
              </w:rPr>
            </w:r>
          </w:p>
        </w:tc>
      </w:tr>
      <w:tr>
        <w:tc>
          <w:tcPr>
            <w:tcW w:type="dxa" w:w="5100"/>
            <w:vAlign w:val="center"/>
          </w:tcPr>
          <w:p>
            <w:r/>
            <w:r>
              <w:rPr>
                <w:b w:val="0"/>
                <w:sz w:val="16"/>
              </w:rPr>
              <w:t>Risque</w:t>
            </w:r>
          </w:p>
        </w:tc>
        <w:tc>
          <w:tcPr>
            <w:tcW w:type="dxa" w:w="5100"/>
            <w:vAlign w:val="center"/>
          </w:tcPr>
          <w:p>
            <w:r/>
            <w:r>
              <w:rPr>
                <w:b w:val="0"/>
                <w:sz w:val="16"/>
              </w:rPr>
            </w:r>
          </w:p>
        </w:tc>
      </w:tr>
      <w:tr>
        <w:tc>
          <w:tcPr>
            <w:tcW w:type="dxa" w:w="5100"/>
            <w:vAlign w:val="center"/>
          </w:tcPr>
          <w:p>
            <w:r/>
            <w:r>
              <w:rPr>
                <w:b w:val="0"/>
                <w:sz w:val="16"/>
              </w:rPr>
              <w:t>Preuve à examiner</w:t>
            </w:r>
          </w:p>
        </w:tc>
        <w:tc>
          <w:tcPr>
            <w:tcW w:type="dxa" w:w="5100"/>
            <w:vAlign w:val="center"/>
          </w:tcPr>
          <w:p>
            <w:r/>
            <w:r>
              <w:rPr>
                <w:b w:val="0"/>
                <w:sz w:val="16"/>
              </w:rPr>
            </w:r>
          </w:p>
        </w:tc>
      </w:tr>
      <w:tr>
        <w:tc>
          <w:tcPr>
            <w:tcW w:type="dxa" w:w="5100"/>
            <w:vAlign w:val="center"/>
          </w:tcPr>
          <w:p>
            <w:r/>
            <w:r>
              <w:rPr>
                <w:b w:val="0"/>
                <w:sz w:val="16"/>
              </w:rPr>
              <w:t>Mesure de correction</w:t>
            </w:r>
          </w:p>
        </w:tc>
        <w:tc>
          <w:tcPr>
            <w:tcW w:type="dxa" w:w="5100"/>
            <w:vAlign w:val="center"/>
          </w:tcPr>
          <w:p>
            <w:r/>
            <w:r>
              <w:rPr>
                <w:b w:val="0"/>
                <w:sz w:val="16"/>
              </w:rPr>
            </w:r>
          </w:p>
        </w:tc>
      </w:tr>
      <w:tr>
        <w:tc>
          <w:tcPr>
            <w:tcW w:type="dxa" w:w="5100"/>
            <w:vAlign w:val="center"/>
          </w:tcPr>
          <w:p>
            <w:r/>
            <w:r>
              <w:rPr>
                <w:b w:val="0"/>
                <w:sz w:val="16"/>
              </w:rPr>
              <w:t>Responsable</w:t>
            </w:r>
          </w:p>
        </w:tc>
        <w:tc>
          <w:tcPr>
            <w:tcW w:type="dxa" w:w="5100"/>
            <w:vAlign w:val="center"/>
          </w:tcPr>
          <w:p>
            <w:r/>
            <w:r>
              <w:rPr>
                <w:b w:val="0"/>
                <w:sz w:val="16"/>
              </w:rPr>
            </w:r>
          </w:p>
        </w:tc>
      </w:tr>
    </w:tbl>
    <w:p>
      <w:pPr>
        <w:pStyle w:val="Heading2"/>
      </w:pPr>
      <w:r>
        <w:t>Débriefing attendu</w:t>
      </w:r>
    </w:p>
    <w:p>
      <w:r>
        <w:t>Le problème n’est pas de rechercher quel manager « note bien ». Il faut sécuriser le référentiel, les preuves et la calibration afin que la note signifie approximativement la même chose d’une équipe à l’autre.</w:t>
      </w:r>
    </w:p>
    <w:p>
      <w:pPr>
        <w:pStyle w:val="Heading1"/>
      </w:pPr>
      <w:r>
        <w:t>9. EXERCICE PRATIQUE - CONSTRUIRE UNE GRILLE D’ÉVALUATION</w:t>
      </w:r>
    </w:p>
    <w:p>
      <w:r>
        <w:t>Choisissez un poste et construisez une mini-grille combinant trois résultats, trois compétences et deux comportements. Définissez les poids, preuves et repères de notation.</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2040"/>
            <w:vAlign w:val="center"/>
            <w:shd w:fill="D9EAD3"/>
          </w:tcPr>
          <w:p>
            <w:r/>
            <w:r>
              <w:rPr>
                <w:b/>
                <w:sz w:val="16"/>
              </w:rPr>
              <w:t>Dimension</w:t>
            </w:r>
          </w:p>
        </w:tc>
        <w:tc>
          <w:tcPr>
            <w:tcW w:type="dxa" w:w="2040"/>
            <w:vAlign w:val="center"/>
            <w:shd w:fill="D9EAD3"/>
          </w:tcPr>
          <w:p>
            <w:r/>
            <w:r>
              <w:rPr>
                <w:b/>
                <w:sz w:val="16"/>
              </w:rPr>
              <w:t>Critère / objectif</w:t>
            </w:r>
          </w:p>
        </w:tc>
        <w:tc>
          <w:tcPr>
            <w:tcW w:type="dxa" w:w="2040"/>
            <w:vAlign w:val="center"/>
            <w:shd w:fill="D9EAD3"/>
          </w:tcPr>
          <w:p>
            <w:r/>
            <w:r>
              <w:rPr>
                <w:b/>
                <w:sz w:val="16"/>
              </w:rPr>
              <w:t>Poids %</w:t>
            </w:r>
          </w:p>
        </w:tc>
        <w:tc>
          <w:tcPr>
            <w:tcW w:type="dxa" w:w="2040"/>
            <w:vAlign w:val="center"/>
            <w:shd w:fill="D9EAD3"/>
          </w:tcPr>
          <w:p>
            <w:r/>
            <w:r>
              <w:rPr>
                <w:b/>
                <w:sz w:val="16"/>
              </w:rPr>
              <w:t>Preuve attendue</w:t>
            </w:r>
          </w:p>
        </w:tc>
        <w:tc>
          <w:tcPr>
            <w:tcW w:type="dxa" w:w="2040"/>
            <w:vAlign w:val="center"/>
            <w:shd w:fill="D9EAD3"/>
          </w:tcPr>
          <w:p>
            <w:r/>
            <w:r>
              <w:rPr>
                <w:b/>
                <w:sz w:val="16"/>
              </w:rPr>
              <w:t>Repère de notation</w:t>
            </w:r>
          </w:p>
        </w:tc>
      </w:tr>
      <w:tr>
        <w:tc>
          <w:tcPr>
            <w:tcW w:type="dxa" w:w="2040"/>
            <w:vAlign w:val="center"/>
          </w:tcPr>
          <w:p>
            <w:r/>
            <w:r>
              <w:rPr>
                <w:b w:val="0"/>
                <w:sz w:val="16"/>
              </w:rPr>
              <w:t>Résultats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Résultats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Résultats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Compétences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Compétences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Compétences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Comportements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r>
        <w:tc>
          <w:tcPr>
            <w:tcW w:type="dxa" w:w="2040"/>
            <w:vAlign w:val="center"/>
          </w:tcPr>
          <w:p>
            <w:r/>
            <w:r>
              <w:rPr>
                <w:b w:val="0"/>
                <w:sz w:val="16"/>
              </w:rPr>
              <w:t>Comportements</w:t>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c>
          <w:tcPr>
            <w:tcW w:type="dxa" w:w="2040"/>
            <w:vAlign w:val="center"/>
          </w:tcPr>
          <w:p>
            <w:r/>
            <w:r>
              <w:rPr>
                <w:b w:val="0"/>
                <w:sz w:val="16"/>
              </w:rPr>
            </w:r>
          </w:p>
        </w:tc>
      </w:tr>
    </w:tbl>
    <w:p>
      <w:r>
        <w:t>Vérifiez que les pondérations totalisent 100 %, que les critères sont observables et que deux évaluateurs peuvent comprendre les mêmes standards.</w:t>
      </w:r>
    </w:p>
    <w:p>
      <w:pPr>
        <w:pStyle w:val="Heading1"/>
      </w:pPr>
      <w:r>
        <w:t>10. MINI-EXERCICE</w:t>
      </w:r>
    </w:p>
    <w:p>
      <w:r>
        <w:rPr>
          <w:b/>
        </w:rPr>
        <w:t>Situation / affirmation à discuter</w:t>
      </w:r>
    </w:p>
    <w:p>
      <w:r>
        <w:t>Un manager peut-il augmenter le poids d’un objectif à la fin de la période parce qu’il le juge finalement plus important ?</w:t>
      </w:r>
    </w:p>
    <w:p>
      <w:r>
        <w:t>Votre réponse :</w:t>
        <w:br/>
        <w:t>1. ______________________________________________________________________________</w:t>
        <w:br/>
        <w:t>2. ______________________________________________________________________________</w:t>
        <w:br/>
        <w:t>3. ______________________________________________________________________________</w:t>
      </w:r>
    </w:p>
    <w:p>
      <w:r>
        <w:rPr>
          <w:b/>
        </w:rPr>
        <w:t>Éléments de réponse</w:t>
      </w:r>
    </w:p>
    <w:p>
      <w:r>
        <w:t>Une modification tardive compromet l’équité. Si les priorités changent en cours de période, l’évolution des objectifs ou pondérations doit être discutée, justifiée, formalisée et communiquée au moment du changement, selon des règles cohérentes.</w:t>
      </w:r>
    </w:p>
    <w:p>
      <w:pPr>
        <w:pStyle w:val="Heading1"/>
      </w:pPr>
      <w:r>
        <w:t>11. OUTIL PROFESSIONNEL - MATRICE DE CONCEPTION DE LA GRILLE</w:t>
      </w:r>
    </w:p>
    <w:p>
      <w:r>
        <w:t>Cette matrice permet de construire ou auditer une grille avant son déploiement.</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c>
          <w:tcPr>
            <w:tcW w:type="dxa" w:w="1700"/>
            <w:vAlign w:val="center"/>
            <w:shd w:fill="D9EAD3"/>
          </w:tcPr>
          <w:p>
            <w:r/>
            <w:r>
              <w:rPr>
                <w:b/>
                <w:sz w:val="16"/>
              </w:rPr>
              <w:t>Dimension</w:t>
            </w:r>
          </w:p>
        </w:tc>
        <w:tc>
          <w:tcPr>
            <w:tcW w:type="dxa" w:w="1700"/>
            <w:vAlign w:val="center"/>
            <w:shd w:fill="D9EAD3"/>
          </w:tcPr>
          <w:p>
            <w:r/>
            <w:r>
              <w:rPr>
                <w:b/>
                <w:sz w:val="16"/>
              </w:rPr>
              <w:t>Critère</w:t>
            </w:r>
          </w:p>
        </w:tc>
        <w:tc>
          <w:tcPr>
            <w:tcW w:type="dxa" w:w="1700"/>
            <w:vAlign w:val="center"/>
            <w:shd w:fill="D9EAD3"/>
          </w:tcPr>
          <w:p>
            <w:r/>
            <w:r>
              <w:rPr>
                <w:b/>
                <w:sz w:val="16"/>
              </w:rPr>
              <w:t>Définition observable</w:t>
            </w:r>
          </w:p>
        </w:tc>
        <w:tc>
          <w:tcPr>
            <w:tcW w:type="dxa" w:w="1700"/>
            <w:vAlign w:val="center"/>
            <w:shd w:fill="D9EAD3"/>
          </w:tcPr>
          <w:p>
            <w:r/>
            <w:r>
              <w:rPr>
                <w:b/>
                <w:sz w:val="16"/>
              </w:rPr>
              <w:t>Poids</w:t>
            </w:r>
          </w:p>
        </w:tc>
        <w:tc>
          <w:tcPr>
            <w:tcW w:type="dxa" w:w="1700"/>
            <w:vAlign w:val="center"/>
            <w:shd w:fill="D9EAD3"/>
          </w:tcPr>
          <w:p>
            <w:r/>
            <w:r>
              <w:rPr>
                <w:b/>
                <w:sz w:val="16"/>
              </w:rPr>
              <w:t>Preuves</w:t>
            </w:r>
          </w:p>
        </w:tc>
        <w:tc>
          <w:tcPr>
            <w:tcW w:type="dxa" w:w="1700"/>
            <w:vAlign w:val="center"/>
            <w:shd w:fill="D9EAD3"/>
          </w:tcPr>
          <w:p>
            <w:r/>
            <w:r>
              <w:rPr>
                <w:b/>
                <w:sz w:val="16"/>
              </w:rPr>
              <w:t>Risques de biais</w:t>
            </w:r>
          </w:p>
        </w:tc>
      </w:tr>
      <w:tr>
        <w:tc>
          <w:tcPr>
            <w:tcW w:type="dxa" w:w="1700"/>
            <w:vAlign w:val="center"/>
          </w:tcPr>
          <w:p>
            <w:r/>
            <w:r>
              <w:rPr>
                <w:b w:val="0"/>
                <w:sz w:val="16"/>
              </w:rPr>
              <w:t>Résultats</w:t>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r>
      <w:tr>
        <w:tc>
          <w:tcPr>
            <w:tcW w:type="dxa" w:w="1700"/>
            <w:vAlign w:val="center"/>
          </w:tcPr>
          <w:p>
            <w:r/>
            <w:r>
              <w:rPr>
                <w:b w:val="0"/>
                <w:sz w:val="16"/>
              </w:rPr>
              <w:t>Compétences</w:t>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r>
      <w:tr>
        <w:tc>
          <w:tcPr>
            <w:tcW w:type="dxa" w:w="1700"/>
            <w:vAlign w:val="center"/>
          </w:tcPr>
          <w:p>
            <w:r/>
            <w:r>
              <w:rPr>
                <w:b w:val="0"/>
                <w:sz w:val="16"/>
              </w:rPr>
              <w:t>Comportements</w:t>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c>
          <w:tcPr>
            <w:tcW w:type="dxa" w:w="1700"/>
            <w:vAlign w:val="center"/>
          </w:tcPr>
          <w:p>
            <w:r/>
            <w:r>
              <w:rPr>
                <w:b w:val="0"/>
                <w:sz w:val="16"/>
              </w:rPr>
            </w:r>
          </w:p>
        </w:tc>
      </w:tr>
    </w:tbl>
    <w:p>
      <w:r>
        <w:t>Contrôle qualité : critères connus avant la période ; échelle définie ; preuves accessibles ; pondérations explicites ; calibration prévue.</w:t>
      </w:r>
    </w:p>
    <w:p>
      <w:pPr>
        <w:pStyle w:val="Heading1"/>
      </w:pPr>
      <w:r>
        <w:t>12. LES 6 QUESTIONS DE FIABILITÉ D’UNE ÉVALUATION - REPÈRE AACHL</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N°</w:t>
            </w:r>
          </w:p>
        </w:tc>
        <w:tc>
          <w:tcPr>
            <w:tcW w:type="dxa" w:w="5100"/>
            <w:vAlign w:val="center"/>
            <w:shd w:fill="D9EAD3"/>
          </w:tcPr>
          <w:p>
            <w:r/>
            <w:r>
              <w:rPr>
                <w:b/>
                <w:sz w:val="16"/>
              </w:rPr>
              <w:t>Question de management</w:t>
            </w:r>
          </w:p>
        </w:tc>
      </w:tr>
      <w:tr>
        <w:tc>
          <w:tcPr>
            <w:tcW w:type="dxa" w:w="5100"/>
            <w:vAlign w:val="center"/>
          </w:tcPr>
          <w:p>
            <w:r/>
            <w:r>
              <w:rPr>
                <w:b w:val="0"/>
                <w:sz w:val="16"/>
              </w:rPr>
              <w:t>1</w:t>
            </w:r>
          </w:p>
        </w:tc>
        <w:tc>
          <w:tcPr>
            <w:tcW w:type="dxa" w:w="5100"/>
            <w:vAlign w:val="center"/>
          </w:tcPr>
          <w:p>
            <w:r/>
            <w:r>
              <w:rPr>
                <w:b w:val="0"/>
                <w:sz w:val="16"/>
              </w:rPr>
              <w:t>Qu’évaluons-nous exactement ?</w:t>
            </w:r>
          </w:p>
        </w:tc>
      </w:tr>
      <w:tr>
        <w:tc>
          <w:tcPr>
            <w:tcW w:type="dxa" w:w="5100"/>
            <w:vAlign w:val="center"/>
          </w:tcPr>
          <w:p>
            <w:r/>
            <w:r>
              <w:rPr>
                <w:b w:val="0"/>
                <w:sz w:val="16"/>
              </w:rPr>
              <w:t>2</w:t>
            </w:r>
          </w:p>
        </w:tc>
        <w:tc>
          <w:tcPr>
            <w:tcW w:type="dxa" w:w="5100"/>
            <w:vAlign w:val="center"/>
          </w:tcPr>
          <w:p>
            <w:r/>
            <w:r>
              <w:rPr>
                <w:b w:val="0"/>
                <w:sz w:val="16"/>
              </w:rPr>
              <w:t>Le critère est-il observable ?</w:t>
            </w:r>
          </w:p>
        </w:tc>
      </w:tr>
      <w:tr>
        <w:tc>
          <w:tcPr>
            <w:tcW w:type="dxa" w:w="5100"/>
            <w:vAlign w:val="center"/>
          </w:tcPr>
          <w:p>
            <w:r/>
            <w:r>
              <w:rPr>
                <w:b w:val="0"/>
                <w:sz w:val="16"/>
              </w:rPr>
              <w:t>3</w:t>
            </w:r>
          </w:p>
        </w:tc>
        <w:tc>
          <w:tcPr>
            <w:tcW w:type="dxa" w:w="5100"/>
            <w:vAlign w:val="center"/>
          </w:tcPr>
          <w:p>
            <w:r/>
            <w:r>
              <w:rPr>
                <w:b w:val="0"/>
                <w:sz w:val="16"/>
              </w:rPr>
              <w:t>Quelle preuve soutient l’appréciation ?</w:t>
            </w:r>
          </w:p>
        </w:tc>
      </w:tr>
      <w:tr>
        <w:tc>
          <w:tcPr>
            <w:tcW w:type="dxa" w:w="5100"/>
            <w:vAlign w:val="center"/>
          </w:tcPr>
          <w:p>
            <w:r/>
            <w:r>
              <w:rPr>
                <w:b w:val="0"/>
                <w:sz w:val="16"/>
              </w:rPr>
              <w:t>4</w:t>
            </w:r>
          </w:p>
        </w:tc>
        <w:tc>
          <w:tcPr>
            <w:tcW w:type="dxa" w:w="5100"/>
            <w:vAlign w:val="center"/>
          </w:tcPr>
          <w:p>
            <w:r/>
            <w:r>
              <w:rPr>
                <w:b w:val="0"/>
                <w:sz w:val="16"/>
              </w:rPr>
              <w:t>L’échelle signifie-t-elle la même chose pour tous ?</w:t>
            </w:r>
          </w:p>
        </w:tc>
      </w:tr>
      <w:tr>
        <w:tc>
          <w:tcPr>
            <w:tcW w:type="dxa" w:w="5100"/>
            <w:vAlign w:val="center"/>
          </w:tcPr>
          <w:p>
            <w:r/>
            <w:r>
              <w:rPr>
                <w:b w:val="0"/>
                <w:sz w:val="16"/>
              </w:rPr>
              <w:t>5</w:t>
            </w:r>
          </w:p>
        </w:tc>
        <w:tc>
          <w:tcPr>
            <w:tcW w:type="dxa" w:w="5100"/>
            <w:vAlign w:val="center"/>
          </w:tcPr>
          <w:p>
            <w:r/>
            <w:r>
              <w:rPr>
                <w:b w:val="0"/>
                <w:sz w:val="16"/>
              </w:rPr>
              <w:t>La pondération reflète-t-elle réellement le poste ?</w:t>
            </w:r>
          </w:p>
        </w:tc>
      </w:tr>
      <w:tr>
        <w:tc>
          <w:tcPr>
            <w:tcW w:type="dxa" w:w="5100"/>
            <w:vAlign w:val="center"/>
          </w:tcPr>
          <w:p>
            <w:r/>
            <w:r>
              <w:rPr>
                <w:b w:val="0"/>
                <w:sz w:val="16"/>
              </w:rPr>
              <w:t>6</w:t>
            </w:r>
          </w:p>
        </w:tc>
        <w:tc>
          <w:tcPr>
            <w:tcW w:type="dxa" w:w="5100"/>
            <w:vAlign w:val="center"/>
          </w:tcPr>
          <w:p>
            <w:r/>
            <w:r>
              <w:rPr>
                <w:b w:val="0"/>
                <w:sz w:val="16"/>
              </w:rPr>
              <w:t>Comment contrôlerons-nous les biais et incohérences ?</w:t>
            </w:r>
          </w:p>
        </w:tc>
      </w:tr>
    </w:tbl>
    <w:p>
      <w:r>
        <w:t>La note est la conclusion d’un raisonnement ; elle ne doit jamais remplacer le raisonnement.</w:t>
      </w:r>
    </w:p>
    <w:p>
      <w:pPr>
        <w:pStyle w:val="Heading1"/>
      </w:pPr>
      <w:r>
        <w:t>13. MESSAGE CLÉ DE LA SÉQUENCE</w:t>
      </w:r>
    </w:p>
    <w:p>
      <w:r>
        <w:rPr>
          <w:b/>
        </w:rPr>
        <w:t>À retenir</w:t>
      </w:r>
    </w:p>
    <w:p>
      <w:r>
        <w:rPr>
          <w:b/>
        </w:rPr>
        <w:t>Une évaluation équitable repose sur des attentes explicites, des critères observables, des preuves suffisantes et une application cohérente.</w:t>
      </w:r>
    </w:p>
    <w:p>
      <w:r>
        <w:rPr>
          <w:b/>
          <w:sz w:val="22"/>
        </w:rPr>
        <w:t>ATTENTES → CRITÈRES → PREUVES → APPRÉCIATION → CALIBRATION → DÉCISION</w:t>
      </w:r>
    </w:p>
    <w:p>
      <w:pPr>
        <w:pStyle w:val="Heading1"/>
      </w:pPr>
      <w:r>
        <w:t>14. TRANSITION VERS LA SÉQUENCE 4</w:t>
      </w:r>
    </w:p>
    <w:p>
      <w:r>
        <w:t>Une grille robuste ne produit de valeur que si le manager sait conduire le dialogue d’évaluation. La Séquence 4 transforme l’entretien en espace de feedback, d’écoute et d’engagement.</w:t>
      </w:r>
    </w:p>
    <w:p>
      <w:pPr>
        <w:pStyle w:val="Heading1"/>
      </w:pPr>
      <w:r>
        <w:t>15. REPÈRES POUR LE FORMATEUR</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Moment</w:t>
            </w:r>
          </w:p>
        </w:tc>
        <w:tc>
          <w:tcPr>
            <w:tcW w:type="dxa" w:w="5100"/>
            <w:vAlign w:val="center"/>
            <w:shd w:fill="D9EAD3"/>
          </w:tcPr>
          <w:p>
            <w:r/>
            <w:r>
              <w:rPr>
                <w:b/>
                <w:sz w:val="16"/>
              </w:rPr>
              <w:t>Consigne</w:t>
            </w:r>
          </w:p>
        </w:tc>
      </w:tr>
      <w:tr>
        <w:tc>
          <w:tcPr>
            <w:tcW w:type="dxa" w:w="5100"/>
            <w:vAlign w:val="center"/>
          </w:tcPr>
          <w:p>
            <w:r/>
            <w:r>
              <w:rPr>
                <w:b w:val="0"/>
                <w:sz w:val="16"/>
              </w:rPr>
              <w:t>Ouverture</w:t>
            </w:r>
          </w:p>
        </w:tc>
        <w:tc>
          <w:tcPr>
            <w:tcW w:type="dxa" w:w="5100"/>
            <w:vAlign w:val="center"/>
          </w:tcPr>
          <w:p>
            <w:r/>
            <w:r>
              <w:rPr>
                <w:b w:val="0"/>
                <w:sz w:val="16"/>
              </w:rPr>
              <w:t>Faire noter anonymement une même situation par plusieurs participants pour révéler les écarts d’interprétation.</w:t>
            </w:r>
          </w:p>
        </w:tc>
      </w:tr>
      <w:tr>
        <w:tc>
          <w:tcPr>
            <w:tcW w:type="dxa" w:w="5100"/>
            <w:vAlign w:val="center"/>
          </w:tcPr>
          <w:p>
            <w:r/>
            <w:r>
              <w:rPr>
                <w:b w:val="0"/>
                <w:sz w:val="16"/>
              </w:rPr>
              <w:t>Critères</w:t>
            </w:r>
          </w:p>
        </w:tc>
        <w:tc>
          <w:tcPr>
            <w:tcW w:type="dxa" w:w="5100"/>
            <w:vAlign w:val="center"/>
          </w:tcPr>
          <w:p>
            <w:r/>
            <w:r>
              <w:rPr>
                <w:b w:val="0"/>
                <w:sz w:val="16"/>
              </w:rPr>
              <w:t>Faire transformer « leadership » ou « professionnalisme » en comportements observables.</w:t>
            </w:r>
          </w:p>
        </w:tc>
      </w:tr>
      <w:tr>
        <w:tc>
          <w:tcPr>
            <w:tcW w:type="dxa" w:w="5100"/>
            <w:vAlign w:val="center"/>
          </w:tcPr>
          <w:p>
            <w:r/>
            <w:r>
              <w:rPr>
                <w:b w:val="0"/>
                <w:sz w:val="16"/>
              </w:rPr>
              <w:t>Échelle</w:t>
            </w:r>
          </w:p>
        </w:tc>
        <w:tc>
          <w:tcPr>
            <w:tcW w:type="dxa" w:w="5100"/>
            <w:vAlign w:val="center"/>
          </w:tcPr>
          <w:p>
            <w:r/>
            <w:r>
              <w:rPr>
                <w:b w:val="0"/>
                <w:sz w:val="16"/>
              </w:rPr>
              <w:t>Demander ce qui distingue concrètement 3/5 de 4/5.</w:t>
            </w:r>
          </w:p>
        </w:tc>
      </w:tr>
      <w:tr>
        <w:tc>
          <w:tcPr>
            <w:tcW w:type="dxa" w:w="5100"/>
            <w:vAlign w:val="center"/>
          </w:tcPr>
          <w:p>
            <w:r/>
            <w:r>
              <w:rPr>
                <w:b w:val="0"/>
                <w:sz w:val="16"/>
              </w:rPr>
              <w:t>Biais</w:t>
            </w:r>
          </w:p>
        </w:tc>
        <w:tc>
          <w:tcPr>
            <w:tcW w:type="dxa" w:w="5100"/>
            <w:vAlign w:val="center"/>
          </w:tcPr>
          <w:p>
            <w:r/>
            <w:r>
              <w:rPr>
                <w:b w:val="0"/>
                <w:sz w:val="16"/>
              </w:rPr>
              <w:t>Faire identifier le biais dominant dans plusieurs mini-situations.</w:t>
            </w:r>
          </w:p>
        </w:tc>
      </w:tr>
      <w:tr>
        <w:tc>
          <w:tcPr>
            <w:tcW w:type="dxa" w:w="5100"/>
            <w:vAlign w:val="center"/>
          </w:tcPr>
          <w:p>
            <w:r/>
            <w:r>
              <w:rPr>
                <w:b w:val="0"/>
                <w:sz w:val="16"/>
              </w:rPr>
              <w:t>Exercice</w:t>
            </w:r>
          </w:p>
        </w:tc>
        <w:tc>
          <w:tcPr>
            <w:tcW w:type="dxa" w:w="5100"/>
            <w:vAlign w:val="center"/>
          </w:tcPr>
          <w:p>
            <w:r/>
            <w:r>
              <w:rPr>
                <w:b w:val="0"/>
                <w:sz w:val="16"/>
              </w:rPr>
              <w:t>Vérifier que les poids totalisent 100 % et que chaque critère possède une preuve.</w:t>
            </w:r>
          </w:p>
        </w:tc>
      </w:tr>
      <w:tr>
        <w:tc>
          <w:tcPr>
            <w:tcW w:type="dxa" w:w="5100"/>
            <w:vAlign w:val="center"/>
          </w:tcPr>
          <w:p>
            <w:r/>
            <w:r>
              <w:rPr>
                <w:b w:val="0"/>
                <w:sz w:val="16"/>
              </w:rPr>
              <w:t>Clôture</w:t>
            </w:r>
          </w:p>
        </w:tc>
        <w:tc>
          <w:tcPr>
            <w:tcW w:type="dxa" w:w="5100"/>
            <w:vAlign w:val="center"/>
          </w:tcPr>
          <w:p>
            <w:r/>
            <w:r>
              <w:rPr>
                <w:b w:val="0"/>
                <w:sz w:val="16"/>
              </w:rPr>
              <w:t>Faire reformuler : « la note est une conclusion, pas une preuve ».</w:t>
            </w:r>
          </w:p>
        </w:tc>
      </w:tr>
    </w:tbl>
    <w:sectPr w:rsidR="00FC693F" w:rsidRPr="0006063C" w:rsidSect="00034616">
      <w:footerReference w:type="default" r:id="rId9"/>
      <w:pgSz w:w="12240" w:h="15840"/>
      <w:pgMar w:top="964"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AACHL | Module 2 - Construire le Système &amp; la Grille d’Évaluation | Séquence 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