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8"/>
        </w:rPr>
        <w:t>AACHL</w:t>
      </w:r>
    </w:p>
    <w:p>
      <w:pPr>
        <w:jc w:val="center"/>
      </w:pPr>
      <w:r>
        <w:rPr>
          <w:b/>
          <w:sz w:val="22"/>
        </w:rPr>
        <w:t>SUPPORT INDIVIDUEL PARTICIPANT</w:t>
      </w:r>
    </w:p>
    <w:p>
      <w:pPr>
        <w:jc w:val="center"/>
      </w:pPr>
      <w:r>
        <w:rPr>
          <w:b/>
          <w:color w:val="1F4E79"/>
          <w:sz w:val="46"/>
        </w:rPr>
        <w:t>SÉQUENCE 2 — Clarifier les Rôles &amp; Responsabilités</w:t>
      </w:r>
    </w:p>
    <w:p>
      <w:pPr>
        <w:jc w:val="center"/>
      </w:pPr>
      <w:r>
        <w:rPr>
          <w:b/>
          <w:sz w:val="24"/>
        </w:rPr>
        <w:t>Faire en sorte que chacun sache ce qu’il doit faire, décider et rendre compte</w:t>
      </w:r>
    </w:p>
    <w:p>
      <w:pPr>
        <w:jc w:val="center"/>
      </w:pPr>
      <w:r>
        <w:rPr>
          <w:i/>
          <w:sz w:val="18"/>
        </w:rPr>
        <w:t>« Développer les talents. Former les leaders. Transformer les organisations. »</w:t>
      </w:r>
    </w:p>
    <w:p/>
    <w:p>
      <w:pPr>
        <w:pStyle w:val="Heading1"/>
      </w:pPr>
      <w:r>
        <w:t>1. Finalité de la séquence</w:t>
      </w:r>
    </w:p>
    <w:p>
      <w:r>
        <w:t>Réduire les ambiguïtés de responsabilité en distinguant rôle, responsabilité, autorité, délégation et redevabilité.</w:t>
      </w:r>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Objectif pédagogique</w:t>
            </w:r>
          </w:p>
        </w:tc>
      </w:tr>
      <w:tr>
        <w:tc>
          <w:tcPr>
            <w:tcW w:type="dxa" w:w="10200"/>
            <w:tcMar>
              <w:top w:w="90" w:type="dxa"/>
              <w:start w:w="90" w:type="dxa"/>
              <w:bottom w:w="90" w:type="dxa"/>
              <w:end w:w="90" w:type="dxa"/>
            </w:tcMar>
          </w:tcPr>
          <w:p>
            <w:r>
              <w:t>À l’issue de la séquence, le participant sait analyser une zone de responsabilité, identifier les chevauchements et formaliser une répartition plus claire.</w:t>
            </w:r>
          </w:p>
        </w:tc>
      </w:tr>
    </w:tbl>
    <w:p/>
    <w:p>
      <w:pPr>
        <w:pStyle w:val="Heading1"/>
      </w:pPr>
      <w:r>
        <w:t>2. Compétences visées</w:t>
      </w:r>
    </w:p>
    <w:p>
      <w:pPr>
        <w:pStyle w:val="ListBullet"/>
      </w:pPr>
      <w:r>
        <w:t>Distinguer rôle, responsabilité, tâche, autorité et redevabilité.</w:t>
      </w:r>
    </w:p>
    <w:p>
      <w:pPr>
        <w:pStyle w:val="ListBullet"/>
      </w:pPr>
      <w:r>
        <w:t>Identifier les doublons et responsabilités orphelines.</w:t>
      </w:r>
    </w:p>
    <w:p>
      <w:pPr>
        <w:pStyle w:val="ListBullet"/>
      </w:pPr>
      <w:r>
        <w:t>Définir les limites de décision d’un poste.</w:t>
      </w:r>
    </w:p>
    <w:p>
      <w:pPr>
        <w:pStyle w:val="ListBullet"/>
      </w:pPr>
      <w:r>
        <w:t>Formaliser une délégation compréhensible.</w:t>
      </w:r>
    </w:p>
    <w:p>
      <w:pPr>
        <w:pStyle w:val="ListBullet"/>
      </w:pPr>
      <w:r>
        <w:t>Relier responsabilité et obligation de rendre compte.</w:t>
      </w:r>
    </w:p>
    <w:p>
      <w:pPr>
        <w:pStyle w:val="Heading1"/>
      </w:pPr>
      <w:r>
        <w:t>3. Repères conceptuels et contenu de cours</w:t>
      </w:r>
    </w:p>
    <w:p>
      <w:pPr>
        <w:pStyle w:val="Heading2"/>
      </w:pPr>
      <w:r>
        <w:t>3.1. Du poste à la responsabilité</w:t>
      </w:r>
    </w:p>
    <w:p>
      <w:r>
        <w:t>Le rôle décrit la contribution attendue d’un acteur dans un système. La responsabilité correspond au résultat ou au domaine dont il répond. La tâche est une action concrète. L’autorité est le pouvoir légitime de décider ou d’engager des ressources. La redevabilité signifie devoir expliquer les résultats et les décisions.</w:t>
      </w:r>
    </w:p>
    <w:p>
      <w:r>
        <w:t>Confondre ces notions conduit à des fiches de poste surchargées de tâches mais pauvres en responsabilités, ou à des managers responsables de résultats sans disposer de l’autorité nécessaire.</w:t>
      </w:r>
    </w:p>
    <w:p>
      <w:pPr>
        <w:pStyle w:val="Heading2"/>
      </w:pPr>
      <w:r>
        <w:t>3.2. Le principe d’alignement responsabilité–autorité</w:t>
      </w:r>
    </w:p>
    <w:p>
      <w:r>
        <w:t>Une responsabilité doit être accompagnée d’un niveau d’autorité suffisant. Inversement, une autorité doit être encadrée par des règles de redevabilité. Le couple responsabilité/autorité constitue donc un point de contrôle central de l’organisation.</w:t>
      </w:r>
    </w:p>
    <w:p>
      <w:r>
        <w:t>Le fil directeur est : MISSION → RÔLE → RESPONSABILITÉS → AUTORITÉ → DÉCISION → REDEVABILITÉ.</w:t>
      </w:r>
    </w:p>
    <w:p>
      <w:pPr>
        <w:pStyle w:val="Heading2"/>
      </w:pPr>
      <w:r>
        <w:t>3.3. Détecter les zones grises</w:t>
      </w:r>
    </w:p>
    <w:p>
      <w:r>
        <w:t>Les zones grises apparaissent lorsqu’une décision a plusieurs propriétaires, lorsqu’une activité importante n’en a aucun, ou lorsque la pratique réelle contredit les documents. Elles se détectent par entretiens, observation des circuits de validation, analyse des incidents et comparaison des documents existants.</w:t>
      </w:r>
    </w:p>
    <w:p>
      <w:r>
        <w:t>Clarifier ne signifie pas rigidifier : certaines activités nécessitent une collaboration, mais la responsabilité finale et les règles de décision doivent rester identifiables.</w:t>
      </w:r>
    </w:p>
    <w:p>
      <w:pPr>
        <w:pStyle w:val="Heading1"/>
      </w:pPr>
      <w:r>
        <w:t>4. Cas pratique</w:t>
      </w:r>
    </w:p>
    <w:p>
      <w:r>
        <w:t>Le recrutement d’un agent terrain mobilise le coordinateur de zone, le RH, le RAF et le Directeur. Chacun pense avoir le dernier mot sur une partie du processus. Deux recrutements récents ont été retardés car personne ne savait qui devait autoriser la publication de l’offre et qui devait valider la rémunération.</w:t>
      </w:r>
    </w:p>
    <w:p>
      <w:pPr>
        <w:pStyle w:val="Heading2"/>
      </w:pPr>
      <w:r>
        <w:t>Travail demandé</w:t>
      </w:r>
    </w:p>
    <w:p>
      <w:pPr>
        <w:pStyle w:val="ListNumber"/>
      </w:pPr>
      <w:r>
        <w:t>Identifier les responsabilités ambiguës.</w:t>
      </w:r>
    </w:p>
    <w:p>
      <w:pPr>
        <w:pStyle w:val="ListNumber"/>
      </w:pPr>
      <w:r>
        <w:t>Distinguer consultation, validation et décision finale.</w:t>
      </w:r>
    </w:p>
    <w:p>
      <w:pPr>
        <w:pStyle w:val="ListNumber"/>
      </w:pPr>
      <w:r>
        <w:t>Proposer une répartition des responsabilités.</w:t>
      </w:r>
    </w:p>
    <w:p>
      <w:pPr>
        <w:pStyle w:val="ListNumber"/>
      </w:pPr>
      <w:r>
        <w:t>Définir deux règles de redevabilité.</w:t>
      </w:r>
    </w:p>
    <w:p>
      <w:pPr>
        <w:pStyle w:val="Heading1"/>
      </w:pPr>
      <w:r>
        <w:t>5. Exercice pratique</w:t>
      </w:r>
    </w:p>
    <w:p>
      <w:r>
        <w:t>Choisissez un processus RH réel de votre organisation et construisez une carte des responsabilités.</w:t>
      </w:r>
    </w:p>
    <w:p>
      <w:pPr>
        <w:pStyle w:val="ListBullet"/>
      </w:pPr>
      <w:r>
        <w:t>Acteurs concernés.</w:t>
      </w:r>
    </w:p>
    <w:p>
      <w:pPr>
        <w:pStyle w:val="ListBullet"/>
      </w:pPr>
      <w:r>
        <w:t>Responsabilités principales de chacun.</w:t>
      </w:r>
    </w:p>
    <w:p>
      <w:pPr>
        <w:pStyle w:val="ListBullet"/>
      </w:pPr>
      <w:r>
        <w:t>Décisions autorisées.</w:t>
      </w:r>
    </w:p>
    <w:p>
      <w:pPr>
        <w:pStyle w:val="ListBullet"/>
      </w:pPr>
      <w:r>
        <w:t>Décisions nécessitant validation.</w:t>
      </w:r>
    </w:p>
    <w:p>
      <w:pPr>
        <w:pStyle w:val="ListBullet"/>
      </w:pPr>
      <w:r>
        <w:t>Points de reddition de comptes.</w:t>
      </w:r>
    </w:p>
    <w:p>
      <w:pPr>
        <w:pStyle w:val="Heading1"/>
      </w:pPr>
      <w:r>
        <w:t>6. Mini-exercice de consolidation</w:t>
      </w:r>
    </w:p>
    <w:p>
      <w:r>
        <w:t>Pour chaque situation, indiquez s’il s’agit principalement d’une responsabilité, d’une autorité ou d’une redevabilité.</w:t>
      </w:r>
    </w:p>
    <w:p>
      <w:pPr>
        <w:pStyle w:val="ListBullet"/>
      </w:pPr>
      <w:r>
        <w:t>Atteindre le taux de recrutement prévu.</w:t>
      </w:r>
    </w:p>
    <w:p>
      <w:pPr>
        <w:pStyle w:val="ListBullet"/>
      </w:pPr>
      <w:r>
        <w:t>Autoriser une dépense dans une limite donnée.</w:t>
      </w:r>
    </w:p>
    <w:p>
      <w:pPr>
        <w:pStyle w:val="ListBullet"/>
      </w:pPr>
      <w:r>
        <w:t>Présenter mensuellement les écarts de masse salariale.</w:t>
      </w:r>
    </w:p>
    <w:p>
      <w:pPr>
        <w:pStyle w:val="Heading1"/>
      </w:pPr>
      <w:r>
        <w:t>7. Outil professionnel AACHL</w:t>
      </w:r>
    </w:p>
    <w:p>
      <w:r>
        <w:t>Matrice AACHL Responsabilité–Autorité–Redevabilité.</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tblHeader w:val="true"/>
        </w:trPr>
        <w:tc>
          <w:tcPr>
            <w:tcW w:type="dxa" w:w="2040"/>
            <w:shd w:fill="D9EAF7"/>
            <w:vAlign w:val="center"/>
            <w:tcMar>
              <w:top w:w="90" w:type="dxa"/>
              <w:start w:w="90" w:type="dxa"/>
              <w:bottom w:w="90" w:type="dxa"/>
              <w:end w:w="90" w:type="dxa"/>
            </w:tcMar>
          </w:tcPr>
          <w:p>
            <w:r>
              <w:rPr>
                <w:b/>
              </w:rPr>
              <w:t>Domaine / résultat</w:t>
            </w:r>
          </w:p>
        </w:tc>
        <w:tc>
          <w:tcPr>
            <w:tcW w:type="dxa" w:w="2040"/>
            <w:shd w:fill="D9EAF7"/>
            <w:vAlign w:val="center"/>
            <w:tcMar>
              <w:top w:w="90" w:type="dxa"/>
              <w:start w:w="90" w:type="dxa"/>
              <w:bottom w:w="90" w:type="dxa"/>
              <w:end w:w="90" w:type="dxa"/>
            </w:tcMar>
          </w:tcPr>
          <w:p>
            <w:r>
              <w:rPr>
                <w:b/>
              </w:rPr>
              <w:t>Responsable</w:t>
            </w:r>
          </w:p>
        </w:tc>
        <w:tc>
          <w:tcPr>
            <w:tcW w:type="dxa" w:w="2040"/>
            <w:shd w:fill="D9EAF7"/>
            <w:vAlign w:val="center"/>
            <w:tcMar>
              <w:top w:w="90" w:type="dxa"/>
              <w:start w:w="90" w:type="dxa"/>
              <w:bottom w:w="90" w:type="dxa"/>
              <w:end w:w="90" w:type="dxa"/>
            </w:tcMar>
          </w:tcPr>
          <w:p>
            <w:r>
              <w:rPr>
                <w:b/>
              </w:rPr>
              <w:t>Autorité accordée</w:t>
            </w:r>
          </w:p>
        </w:tc>
        <w:tc>
          <w:tcPr>
            <w:tcW w:type="dxa" w:w="2040"/>
            <w:shd w:fill="D9EAF7"/>
            <w:vAlign w:val="center"/>
            <w:tcMar>
              <w:top w:w="90" w:type="dxa"/>
              <w:start w:w="90" w:type="dxa"/>
              <w:bottom w:w="90" w:type="dxa"/>
              <w:end w:w="90" w:type="dxa"/>
            </w:tcMar>
          </w:tcPr>
          <w:p>
            <w:r>
              <w:rPr>
                <w:b/>
              </w:rPr>
              <w:t>Validation requise</w:t>
            </w:r>
          </w:p>
        </w:tc>
        <w:tc>
          <w:tcPr>
            <w:tcW w:type="dxa" w:w="2040"/>
            <w:shd w:fill="D9EAF7"/>
            <w:vAlign w:val="center"/>
            <w:tcMar>
              <w:top w:w="90" w:type="dxa"/>
              <w:start w:w="90" w:type="dxa"/>
              <w:bottom w:w="90" w:type="dxa"/>
              <w:end w:w="90" w:type="dxa"/>
            </w:tcMar>
          </w:tcPr>
          <w:p>
            <w:r>
              <w:rPr>
                <w:b/>
              </w:rPr>
              <w:t>Redevabilité / preuve</w:t>
            </w:r>
          </w:p>
        </w:tc>
      </w:tr>
      <w:tr>
        <w:tc>
          <w:tcPr>
            <w:tcW w:type="dxa" w:w="2040"/>
            <w:tcMar>
              <w:top w:w="90" w:type="dxa"/>
              <w:start w:w="90" w:type="dxa"/>
              <w:bottom w:w="90" w:type="dxa"/>
              <w:end w:w="90" w:type="dxa"/>
            </w:tcMar>
          </w:tcPr>
          <w:p>
            <w:r>
              <w:t>Recrutement</w:t>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r>
      <w:tr>
        <w:tc>
          <w:tcPr>
            <w:tcW w:type="dxa" w:w="2040"/>
            <w:tcMar>
              <w:top w:w="90" w:type="dxa"/>
              <w:start w:w="90" w:type="dxa"/>
              <w:bottom w:w="90" w:type="dxa"/>
              <w:end w:w="90" w:type="dxa"/>
            </w:tcMar>
          </w:tcPr>
          <w:p>
            <w:r>
              <w:t>Paie</w:t>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r>
      <w:tr>
        <w:tc>
          <w:tcPr>
            <w:tcW w:type="dxa" w:w="2040"/>
            <w:tcMar>
              <w:top w:w="90" w:type="dxa"/>
              <w:start w:w="90" w:type="dxa"/>
              <w:bottom w:w="90" w:type="dxa"/>
              <w:end w:w="90" w:type="dxa"/>
            </w:tcMar>
          </w:tcPr>
          <w:p>
            <w:r>
              <w:t>Formation</w:t>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r>
      <w:tr>
        <w:tc>
          <w:tcPr>
            <w:tcW w:type="dxa" w:w="2040"/>
            <w:tcMar>
              <w:top w:w="90" w:type="dxa"/>
              <w:start w:w="90" w:type="dxa"/>
              <w:bottom w:w="90" w:type="dxa"/>
              <w:end w:w="90" w:type="dxa"/>
            </w:tcMar>
          </w:tcPr>
          <w:p>
            <w:r>
              <w:t>Discipline</w:t>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r>
      <w:tr>
        <w:tc>
          <w:tcPr>
            <w:tcW w:type="dxa" w:w="2040"/>
            <w:tcMar>
              <w:top w:w="90" w:type="dxa"/>
              <w:start w:w="90" w:type="dxa"/>
              <w:bottom w:w="90" w:type="dxa"/>
              <w:end w:w="90" w:type="dxa"/>
            </w:tcMar>
          </w:tcPr>
          <w:p>
            <w:r>
              <w:t>Dossiers RH</w:t>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c>
          <w:tcPr>
            <w:tcW w:type="dxa" w:w="2040"/>
            <w:tcMar>
              <w:top w:w="90" w:type="dxa"/>
              <w:start w:w="90" w:type="dxa"/>
              <w:bottom w:w="90" w:type="dxa"/>
              <w:end w:w="90" w:type="dxa"/>
            </w:tcMar>
          </w:tcPr>
          <w:p>
            <w:r/>
          </w:p>
        </w:tc>
      </w:tr>
    </w:tbl>
    <w:p/>
    <w:p>
      <w:pPr>
        <w:pStyle w:val="Heading1"/>
      </w:pPr>
      <w:r>
        <w:t>8. Auto-évaluation du participant</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Je suis capable de…</w:t>
            </w:r>
          </w:p>
        </w:tc>
        <w:tc>
          <w:tcPr>
            <w:tcW w:type="dxa" w:w="2550"/>
            <w:shd w:fill="D9EAF7"/>
            <w:vAlign w:val="center"/>
            <w:tcMar>
              <w:top w:w="90" w:type="dxa"/>
              <w:start w:w="90" w:type="dxa"/>
              <w:bottom w:w="90" w:type="dxa"/>
              <w:end w:w="90" w:type="dxa"/>
            </w:tcMar>
          </w:tcPr>
          <w:p>
            <w:r>
              <w:rPr>
                <w:b/>
              </w:rPr>
              <w:t>Oui</w:t>
            </w:r>
          </w:p>
        </w:tc>
        <w:tc>
          <w:tcPr>
            <w:tcW w:type="dxa" w:w="2550"/>
            <w:shd w:fill="D9EAF7"/>
            <w:vAlign w:val="center"/>
            <w:tcMar>
              <w:top w:w="90" w:type="dxa"/>
              <w:start w:w="90" w:type="dxa"/>
              <w:bottom w:w="90" w:type="dxa"/>
              <w:end w:w="90" w:type="dxa"/>
            </w:tcMar>
          </w:tcPr>
          <w:p>
            <w:r>
              <w:rPr>
                <w:b/>
              </w:rPr>
              <w:t>Partiellement</w:t>
            </w:r>
          </w:p>
        </w:tc>
        <w:tc>
          <w:tcPr>
            <w:tcW w:type="dxa" w:w="2550"/>
            <w:shd w:fill="D9EAF7"/>
            <w:vAlign w:val="center"/>
            <w:tcMar>
              <w:top w:w="90" w:type="dxa"/>
              <w:start w:w="90" w:type="dxa"/>
              <w:bottom w:w="90" w:type="dxa"/>
              <w:end w:w="90" w:type="dxa"/>
            </w:tcMar>
          </w:tcPr>
          <w:p>
            <w:r>
              <w:rPr>
                <w:b/>
              </w:rPr>
              <w:t>À renforcer</w:t>
            </w:r>
          </w:p>
        </w:tc>
      </w:tr>
      <w:tr>
        <w:tc>
          <w:tcPr>
            <w:tcW w:type="dxa" w:w="2550"/>
            <w:tcMar>
              <w:top w:w="90" w:type="dxa"/>
              <w:start w:w="90" w:type="dxa"/>
              <w:bottom w:w="90" w:type="dxa"/>
              <w:end w:w="90" w:type="dxa"/>
            </w:tcMar>
          </w:tcPr>
          <w:p>
            <w:r>
              <w:t>Distinguer rôle, responsabilité, tâche, autorité et redevabilité.</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Identifier les doublons et responsabilités orphelines.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Définir les limites de décision d’un poste.</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Formaliser une délégation compréhensible.</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Relier responsabilité et obligation de rendre compte.</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bl>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Message clé</w:t>
            </w:r>
          </w:p>
        </w:tc>
      </w:tr>
      <w:tr>
        <w:tc>
          <w:tcPr>
            <w:tcW w:type="dxa" w:w="10200"/>
            <w:tcMar>
              <w:top w:w="90" w:type="dxa"/>
              <w:start w:w="90" w:type="dxa"/>
              <w:bottom w:w="90" w:type="dxa"/>
              <w:end w:w="90" w:type="dxa"/>
            </w:tcMar>
          </w:tcPr>
          <w:p>
            <w:r>
              <w:t>Une responsabilité sans autorité crée de l’impuissance ; une autorité sans redevabilité crée du risque.</w:t>
            </w:r>
          </w:p>
        </w:tc>
      </w:tr>
    </w:tbl>
    <w:p/>
    <w:p>
      <w:pPr>
        <w:pStyle w:val="Heading1"/>
      </w:pPr>
      <w:r>
        <w:t>9. Plan d’action individuel</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Action à engager</w:t>
            </w:r>
          </w:p>
        </w:tc>
        <w:tc>
          <w:tcPr>
            <w:tcW w:type="dxa" w:w="2550"/>
            <w:shd w:fill="D9EAF7"/>
            <w:vAlign w:val="center"/>
            <w:tcMar>
              <w:top w:w="90" w:type="dxa"/>
              <w:start w:w="90" w:type="dxa"/>
              <w:bottom w:w="90" w:type="dxa"/>
              <w:end w:w="90" w:type="dxa"/>
            </w:tcMar>
          </w:tcPr>
          <w:p>
            <w:r>
              <w:rPr>
                <w:b/>
              </w:rPr>
              <w:t>Responsable</w:t>
            </w:r>
          </w:p>
        </w:tc>
        <w:tc>
          <w:tcPr>
            <w:tcW w:type="dxa" w:w="2550"/>
            <w:shd w:fill="D9EAF7"/>
            <w:vAlign w:val="center"/>
            <w:tcMar>
              <w:top w:w="90" w:type="dxa"/>
              <w:start w:w="90" w:type="dxa"/>
              <w:bottom w:w="90" w:type="dxa"/>
              <w:end w:w="90" w:type="dxa"/>
            </w:tcMar>
          </w:tcPr>
          <w:p>
            <w:r>
              <w:rPr>
                <w:b/>
              </w:rPr>
              <w:t>Échéance</w:t>
            </w:r>
          </w:p>
        </w:tc>
        <w:tc>
          <w:tcPr>
            <w:tcW w:type="dxa" w:w="2550"/>
            <w:shd w:fill="D9EAF7"/>
            <w:vAlign w:val="center"/>
            <w:tcMar>
              <w:top w:w="90" w:type="dxa"/>
              <w:start w:w="90" w:type="dxa"/>
              <w:bottom w:w="90" w:type="dxa"/>
              <w:end w:w="90" w:type="dxa"/>
            </w:tcMar>
          </w:tcPr>
          <w:p>
            <w:r>
              <w:rPr>
                <w:b/>
              </w:rPr>
              <w:t>Indicateur de réussite</w:t>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bl>
    <w:p/>
    <w:p>
      <w:pPr>
        <w:pStyle w:val="Heading1"/>
      </w:pPr>
      <w:r>
        <w:t>10. Transition</w:t>
      </w:r>
    </w:p>
    <w:p>
      <w:r>
        <w:t>Les responsabilités clarifiées doivent ensuite être traduites dans un document de référence pour chaque poste : la fiche de poste.</w:t>
      </w:r>
    </w:p>
    <w:sectPr w:rsidR="00FC693F" w:rsidRPr="0006063C" w:rsidSect="00034616">
      <w:headerReference w:type="default" r:id="rId9"/>
      <w:footerReference w:type="default" r:id="rId10"/>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Campus Virtuel AACHL • Module 2 — Organisation RH &amp; Procédures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AACHL — ACADÉMIE AFRICAINE DU CAPITAL HUMAIN &amp; DU LEADERSHIP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1F4E7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