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28"/>
        </w:rPr>
        <w:t>AACHL</w:t>
      </w:r>
    </w:p>
    <w:p>
      <w:pPr>
        <w:jc w:val="center"/>
      </w:pPr>
      <w:r>
        <w:rPr>
          <w:b/>
          <w:sz w:val="22"/>
        </w:rPr>
        <w:t>SUPPORT INDIVIDUEL PARTICIPANT</w:t>
      </w:r>
    </w:p>
    <w:p>
      <w:pPr>
        <w:jc w:val="center"/>
      </w:pPr>
      <w:r>
        <w:rPr>
          <w:b/>
          <w:color w:val="1F4E79"/>
          <w:sz w:val="46"/>
        </w:rPr>
        <w:t>SÉQUENCE 1 — Structurer l’Organisation RH</w:t>
      </w:r>
    </w:p>
    <w:p>
      <w:pPr>
        <w:jc w:val="center"/>
      </w:pPr>
      <w:r>
        <w:rPr>
          <w:b/>
          <w:sz w:val="24"/>
        </w:rPr>
        <w:t>Passer d’une organisation implicite à une architecture claire et compréhensible</w:t>
      </w:r>
    </w:p>
    <w:p>
      <w:pPr>
        <w:jc w:val="center"/>
      </w:pPr>
      <w:r>
        <w:rPr>
          <w:i/>
          <w:sz w:val="18"/>
        </w:rPr>
        <w:t>« Développer les talents. Former les leaders. Transformer les organisations. »</w:t>
      </w:r>
    </w:p>
    <w:p/>
    <w:p>
      <w:pPr>
        <w:pStyle w:val="Heading1"/>
      </w:pPr>
      <w:r>
        <w:t>1. Finalité de la séquence</w:t>
      </w:r>
    </w:p>
    <w:p>
      <w:r>
        <w:t>Installer les fondations organisationnelles de la fonction RH en reliant mission, activités, fonctions, postes et mécanismes de coordination.</w:t>
      </w:r>
    </w:p>
    <w:tbl>
      <w:tblPr>
        <w:tblW w:type="auto" w:w="0"/>
        <w:jc w:val="center"/>
        <w:tblLayout w:type="autofit"/>
        <w:tblLook w:firstColumn="1" w:firstRow="1" w:lastColumn="0" w:lastRow="0" w:noHBand="0" w:noVBand="1" w:val="04A0"/>
      </w:tblPr>
      <w:tblGrid>
        <w:gridCol w:w="10200"/>
      </w:tblGrid>
      <w:tr>
        <w:tc>
          <w:tcPr>
            <w:tcW w:type="dxa" w:w="10200"/>
            <w:shd w:fill="D9EAF7"/>
            <w:tcMar>
              <w:top w:w="90" w:type="dxa"/>
              <w:start w:w="90" w:type="dxa"/>
              <w:bottom w:w="90" w:type="dxa"/>
              <w:end w:w="90" w:type="dxa"/>
            </w:tcMar>
          </w:tcPr>
          <w:p>
            <w:r>
              <w:rPr>
                <w:b/>
              </w:rPr>
              <w:t>Objectif pédagogique</w:t>
            </w:r>
          </w:p>
        </w:tc>
      </w:tr>
      <w:tr>
        <w:tc>
          <w:tcPr>
            <w:tcW w:type="dxa" w:w="10200"/>
            <w:tcMar>
              <w:top w:w="90" w:type="dxa"/>
              <w:start w:w="90" w:type="dxa"/>
              <w:bottom w:w="90" w:type="dxa"/>
              <w:end w:w="90" w:type="dxa"/>
            </w:tcMar>
          </w:tcPr>
          <w:p>
            <w:r>
              <w:t>À l’issue de la séquence, le participant sait lire et questionner un organigramme, repérer les incohérences de structure et proposer une organisation plus lisible.</w:t>
            </w:r>
          </w:p>
        </w:tc>
      </w:tr>
    </w:tbl>
    <w:p/>
    <w:p>
      <w:pPr>
        <w:pStyle w:val="Heading1"/>
      </w:pPr>
      <w:r>
        <w:t>2. Compétences visées</w:t>
      </w:r>
    </w:p>
    <w:p>
      <w:pPr>
        <w:pStyle w:val="ListBullet"/>
      </w:pPr>
      <w:r>
        <w:t>Analyser une structure organisationnelle et ses niveaux de responsabilité.</w:t>
      </w:r>
    </w:p>
    <w:p>
      <w:pPr>
        <w:pStyle w:val="ListBullet"/>
      </w:pPr>
      <w:r>
        <w:t>Identifier les fonctions essentielles et les zones non couvertes.</w:t>
      </w:r>
    </w:p>
    <w:p>
      <w:pPr>
        <w:pStyle w:val="ListBullet"/>
      </w:pPr>
      <w:r>
        <w:t>Distinguer liens hiérarchiques, fonctionnels et de coordination.</w:t>
      </w:r>
    </w:p>
    <w:p>
      <w:pPr>
        <w:pStyle w:val="ListBullet"/>
      </w:pPr>
      <w:r>
        <w:t>Repérer doublons, chevauchements et vides organisationnels.</w:t>
      </w:r>
    </w:p>
    <w:p>
      <w:pPr>
        <w:pStyle w:val="ListBullet"/>
      </w:pPr>
      <w:r>
        <w:t>Proposer des ajustements simples et argumentés.</w:t>
      </w:r>
    </w:p>
    <w:p>
      <w:pPr>
        <w:pStyle w:val="Heading1"/>
      </w:pPr>
      <w:r>
        <w:t>3. Repères conceptuels et contenu de cours</w:t>
      </w:r>
    </w:p>
    <w:p>
      <w:pPr>
        <w:pStyle w:val="Heading2"/>
      </w:pPr>
      <w:r>
        <w:t>3.1. Pourquoi structurer l’organisation RH</w:t>
      </w:r>
    </w:p>
    <w:p>
      <w:r>
        <w:t>Une organisation claire répond à quatre questions : quelles missions devons-nous accomplir, quelles activités permettent de les réaliser, qui en porte la responsabilité et comment les acteurs se coordonnent. L’organigramme n’est donc pas un dessin décoratif : il matérialise des choix de responsabilité et de gouvernance.</w:t>
      </w:r>
    </w:p>
    <w:p>
      <w:r>
        <w:t>Une structure mal définie produit des symptômes récurrents : décisions retardées, tâches exécutées deux fois, sujets sans propriétaire, conflits de territoire, surcharge de certains postes et dépendance excessive à quelques personnes.</w:t>
      </w:r>
    </w:p>
    <w:p>
      <w:pPr>
        <w:pStyle w:val="Heading2"/>
      </w:pPr>
      <w:r>
        <w:t>3.2. Les briques de l’architecture organisationnelle</w:t>
      </w:r>
    </w:p>
    <w:p>
      <w:r>
        <w:t>La mission exprime la raison d’être d’une entité. Les activités traduisent cette mission en travail à accomplir. Les fonctions regroupent des activités cohérentes. Les postes attribuent ces responsabilités à des personnes identifiées. Les liens hiérarchiques définissent l’autorité directe ; les liens fonctionnels organisent l’expertise, la coordination ou le contrôle transversal.</w:t>
      </w:r>
    </w:p>
    <w:p>
      <w:r>
        <w:t>Le fil de conception est : MISSION → ACTIVITÉS → FONCTIONS → POSTES → LIENS HIÉRARCHIQUES → COORDINATION.</w:t>
      </w:r>
    </w:p>
    <w:p>
      <w:pPr>
        <w:pStyle w:val="Heading2"/>
      </w:pPr>
      <w:r>
        <w:t>3.3. Lire un organigramme avec un regard RH</w:t>
      </w:r>
    </w:p>
    <w:p>
      <w:r>
        <w:t>Une lecture professionnelle vérifie la cohérence des niveaux, l’étendue de contrôle des managers, la clarté des rattachements, l’équilibre des fonctions support/opérationnelles et l’existence de responsabilités critiques. Elle confronte aussi l’organigramme officiel aux pratiques réelles.</w:t>
      </w:r>
    </w:p>
    <w:p>
      <w:r>
        <w:t>Le diagnostic ne consiste pas à rechercher un organigramme idéal universel, mais une structure adaptée à la mission, à la taille, aux risques et au mode de fonctionnement de l’organisation.</w:t>
      </w:r>
    </w:p>
    <w:p>
      <w:pPr>
        <w:pStyle w:val="Heading1"/>
      </w:pPr>
      <w:r>
        <w:t>4. Cas pratique</w:t>
      </w:r>
    </w:p>
    <w:p>
      <w:r>
        <w:t>Cas MBOP : l’agence dispose d’un organigramme historique. Plusieurs collaborateurs indiquent cependant recevoir des instructions de deux responsables différents. Le RAF valide certaines demandes RH, le responsable RH en valide d’autres, tandis que les coordinateurs de zone prennent des décisions locales sans circuit formalisé. Aucun document ne précise les liens fonctionnels.</w:t>
      </w:r>
    </w:p>
    <w:p>
      <w:pPr>
        <w:pStyle w:val="Heading2"/>
      </w:pPr>
      <w:r>
        <w:t>Travail demandé</w:t>
      </w:r>
    </w:p>
    <w:p>
      <w:pPr>
        <w:pStyle w:val="ListNumber"/>
      </w:pPr>
      <w:r>
        <w:t>Identifier au moins cinq risques organisationnels.</w:t>
      </w:r>
    </w:p>
    <w:p>
      <w:pPr>
        <w:pStyle w:val="ListNumber"/>
      </w:pPr>
      <w:r>
        <w:t>Distinguer les problèmes de structure des problèmes de procédure.</w:t>
      </w:r>
    </w:p>
    <w:p>
      <w:pPr>
        <w:pStyle w:val="ListNumber"/>
      </w:pPr>
      <w:r>
        <w:t>Proposer les informations à collecter avant de redessiner l’organigramme.</w:t>
      </w:r>
    </w:p>
    <w:p>
      <w:pPr>
        <w:pStyle w:val="ListNumber"/>
      </w:pPr>
      <w:r>
        <w:t>Formuler trois principes de clarification de la gouvernance.</w:t>
      </w:r>
    </w:p>
    <w:p>
      <w:pPr>
        <w:pStyle w:val="Heading1"/>
      </w:pPr>
      <w:r>
        <w:t>5. Exercice pratique</w:t>
      </w:r>
    </w:p>
    <w:p>
      <w:r>
        <w:t>À partir de votre organisation réelle, construisez une cartographie simplifiée de la fonction RH et de ses interfaces.</w:t>
      </w:r>
    </w:p>
    <w:p>
      <w:pPr>
        <w:pStyle w:val="ListBullet"/>
      </w:pPr>
      <w:r>
        <w:t>Mission de la fonction RH en une phrase.</w:t>
      </w:r>
    </w:p>
    <w:p>
      <w:pPr>
        <w:pStyle w:val="ListBullet"/>
      </w:pPr>
      <w:r>
        <w:t>5 à 8 activités majeures.</w:t>
      </w:r>
    </w:p>
    <w:p>
      <w:pPr>
        <w:pStyle w:val="ListBullet"/>
      </w:pPr>
      <w:r>
        <w:t>Fonctions/postes responsables.</w:t>
      </w:r>
    </w:p>
    <w:p>
      <w:pPr>
        <w:pStyle w:val="ListBullet"/>
      </w:pPr>
      <w:r>
        <w:t>Liens hiérarchiques et fonctionnels.</w:t>
      </w:r>
    </w:p>
    <w:p>
      <w:pPr>
        <w:pStyle w:val="ListBullet"/>
      </w:pPr>
      <w:r>
        <w:t>Trois incohérences ou risques à traiter.</w:t>
      </w:r>
    </w:p>
    <w:p>
      <w:pPr>
        <w:pStyle w:val="Heading1"/>
      </w:pPr>
      <w:r>
        <w:t>6. Mini-exercice de consolidation</w:t>
      </w:r>
    </w:p>
    <w:p>
      <w:r>
        <w:t>Classez chaque élément dans la bonne catégorie : mission, activité, fonction, poste ou lien de coordination.</w:t>
      </w:r>
    </w:p>
    <w:p>
      <w:pPr>
        <w:pStyle w:val="ListBullet"/>
      </w:pPr>
      <w:r>
        <w:t>« Garantir une gestion fiable du personnel »</w:t>
      </w:r>
    </w:p>
    <w:p>
      <w:pPr>
        <w:pStyle w:val="ListBullet"/>
      </w:pPr>
      <w:r>
        <w:t>« Préparer la paie »</w:t>
      </w:r>
    </w:p>
    <w:p>
      <w:pPr>
        <w:pStyle w:val="ListBullet"/>
      </w:pPr>
      <w:r>
        <w:t>« Responsable RH »</w:t>
      </w:r>
    </w:p>
    <w:p>
      <w:pPr>
        <w:pStyle w:val="ListBullet"/>
      </w:pPr>
      <w:r>
        <w:t>« Administration du personnel »</w:t>
      </w:r>
    </w:p>
    <w:p>
      <w:pPr>
        <w:pStyle w:val="ListBullet"/>
      </w:pPr>
      <w:r>
        <w:t>« Validation mensuelle avec le RAF »</w:t>
      </w:r>
    </w:p>
    <w:p>
      <w:pPr>
        <w:pStyle w:val="Heading1"/>
      </w:pPr>
      <w:r>
        <w:t>7. Outil professionnel AACHL</w:t>
      </w:r>
    </w:p>
    <w:p>
      <w:r>
        <w:t>Grille AACHL de diagnostic organisationnel — à utiliser lors d’une revue d’organigramme.</w:t>
      </w:r>
    </w:p>
    <w:tbl>
      <w:tblPr>
        <w:tblStyle w:val="TableGrid"/>
        <w:tblW w:type="auto" w:w="0"/>
        <w:jc w:val="center"/>
        <w:tblLook w:firstColumn="1" w:firstRow="1" w:lastColumn="0" w:lastRow="0" w:noHBand="0" w:noVBand="1" w:val="04A0"/>
      </w:tblPr>
      <w:tblGrid>
        <w:gridCol w:w="2550"/>
        <w:gridCol w:w="2550"/>
        <w:gridCol w:w="2550"/>
        <w:gridCol w:w="2550"/>
      </w:tblGrid>
      <w:tr>
        <w:trPr>
          <w:tblHeader w:val="true"/>
        </w:trPr>
        <w:tc>
          <w:tcPr>
            <w:tcW w:type="dxa" w:w="2550"/>
            <w:shd w:fill="D9EAF7"/>
            <w:vAlign w:val="center"/>
            <w:tcMar>
              <w:top w:w="90" w:type="dxa"/>
              <w:start w:w="90" w:type="dxa"/>
              <w:bottom w:w="90" w:type="dxa"/>
              <w:end w:w="90" w:type="dxa"/>
            </w:tcMar>
          </w:tcPr>
          <w:p>
            <w:r>
              <w:rPr>
                <w:b/>
              </w:rPr>
              <w:t>Point de contrôle</w:t>
            </w:r>
          </w:p>
        </w:tc>
        <w:tc>
          <w:tcPr>
            <w:tcW w:type="dxa" w:w="2550"/>
            <w:shd w:fill="D9EAF7"/>
            <w:vAlign w:val="center"/>
            <w:tcMar>
              <w:top w:w="90" w:type="dxa"/>
              <w:start w:w="90" w:type="dxa"/>
              <w:bottom w:w="90" w:type="dxa"/>
              <w:end w:w="90" w:type="dxa"/>
            </w:tcMar>
          </w:tcPr>
          <w:p>
            <w:r>
              <w:rPr>
                <w:b/>
              </w:rPr>
              <w:t>Situation observée</w:t>
            </w:r>
          </w:p>
        </w:tc>
        <w:tc>
          <w:tcPr>
            <w:tcW w:type="dxa" w:w="2550"/>
            <w:shd w:fill="D9EAF7"/>
            <w:vAlign w:val="center"/>
            <w:tcMar>
              <w:top w:w="90" w:type="dxa"/>
              <w:start w:w="90" w:type="dxa"/>
              <w:bottom w:w="90" w:type="dxa"/>
              <w:end w:w="90" w:type="dxa"/>
            </w:tcMar>
          </w:tcPr>
          <w:p>
            <w:r>
              <w:rPr>
                <w:b/>
              </w:rPr>
              <w:t>Risque</w:t>
            </w:r>
          </w:p>
        </w:tc>
        <w:tc>
          <w:tcPr>
            <w:tcW w:type="dxa" w:w="2550"/>
            <w:shd w:fill="D9EAF7"/>
            <w:vAlign w:val="center"/>
            <w:tcMar>
              <w:top w:w="90" w:type="dxa"/>
              <w:start w:w="90" w:type="dxa"/>
              <w:bottom w:w="90" w:type="dxa"/>
              <w:end w:w="90" w:type="dxa"/>
            </w:tcMar>
          </w:tcPr>
          <w:p>
            <w:r>
              <w:rPr>
                <w:b/>
              </w:rPr>
              <w:t>Action proposée</w:t>
            </w:r>
          </w:p>
        </w:tc>
      </w:tr>
      <w:tr>
        <w:tc>
          <w:tcPr>
            <w:tcW w:type="dxa" w:w="2550"/>
            <w:tcMar>
              <w:top w:w="90" w:type="dxa"/>
              <w:start w:w="90" w:type="dxa"/>
              <w:bottom w:w="90" w:type="dxa"/>
              <w:end w:w="90" w:type="dxa"/>
            </w:tcMar>
          </w:tcPr>
          <w:p>
            <w:r>
              <w:t>Mission et périmètre des fonctions</w:t>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r>
      <w:tr>
        <w:tc>
          <w:tcPr>
            <w:tcW w:type="dxa" w:w="2550"/>
            <w:tcMar>
              <w:top w:w="90" w:type="dxa"/>
              <w:start w:w="90" w:type="dxa"/>
              <w:bottom w:w="90" w:type="dxa"/>
              <w:end w:w="90" w:type="dxa"/>
            </w:tcMar>
          </w:tcPr>
          <w:p>
            <w:r>
              <w:t>Rattachements hiérarchiques</w:t>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r>
      <w:tr>
        <w:tc>
          <w:tcPr>
            <w:tcW w:type="dxa" w:w="2550"/>
            <w:tcMar>
              <w:top w:w="90" w:type="dxa"/>
              <w:start w:w="90" w:type="dxa"/>
              <w:bottom w:w="90" w:type="dxa"/>
              <w:end w:w="90" w:type="dxa"/>
            </w:tcMar>
          </w:tcPr>
          <w:p>
            <w:r>
              <w:t>Liens fonctionnels</w:t>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r>
      <w:tr>
        <w:tc>
          <w:tcPr>
            <w:tcW w:type="dxa" w:w="2550"/>
            <w:tcMar>
              <w:top w:w="90" w:type="dxa"/>
              <w:start w:w="90" w:type="dxa"/>
              <w:bottom w:w="90" w:type="dxa"/>
              <w:end w:w="90" w:type="dxa"/>
            </w:tcMar>
          </w:tcPr>
          <w:p>
            <w:r>
              <w:t>Doublons / chevauchements</w:t>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r>
      <w:tr>
        <w:tc>
          <w:tcPr>
            <w:tcW w:type="dxa" w:w="2550"/>
            <w:tcMar>
              <w:top w:w="90" w:type="dxa"/>
              <w:start w:w="90" w:type="dxa"/>
              <w:bottom w:w="90" w:type="dxa"/>
              <w:end w:w="90" w:type="dxa"/>
            </w:tcMar>
          </w:tcPr>
          <w:p>
            <w:r>
              <w:t>Activités sans responsable</w:t>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r>
      <w:tr>
        <w:tc>
          <w:tcPr>
            <w:tcW w:type="dxa" w:w="2550"/>
            <w:tcMar>
              <w:top w:w="90" w:type="dxa"/>
              <w:start w:w="90" w:type="dxa"/>
              <w:bottom w:w="90" w:type="dxa"/>
              <w:end w:w="90" w:type="dxa"/>
            </w:tcMar>
          </w:tcPr>
          <w:p>
            <w:r>
              <w:t>Étendue de contrôle</w:t>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r>
    </w:tbl>
    <w:p/>
    <w:p>
      <w:pPr>
        <w:pStyle w:val="Heading1"/>
      </w:pPr>
      <w:r>
        <w:t>8. Auto-évaluation du participant</w:t>
      </w:r>
    </w:p>
    <w:tbl>
      <w:tblPr>
        <w:tblStyle w:val="TableGrid"/>
        <w:tblW w:type="auto" w:w="0"/>
        <w:jc w:val="center"/>
        <w:tblLook w:firstColumn="1" w:firstRow="1" w:lastColumn="0" w:lastRow="0" w:noHBand="0" w:noVBand="1" w:val="04A0"/>
      </w:tblPr>
      <w:tblGrid>
        <w:gridCol w:w="2550"/>
        <w:gridCol w:w="2550"/>
        <w:gridCol w:w="2550"/>
        <w:gridCol w:w="2550"/>
      </w:tblGrid>
      <w:tr>
        <w:trPr>
          <w:tblHeader w:val="true"/>
        </w:trPr>
        <w:tc>
          <w:tcPr>
            <w:tcW w:type="dxa" w:w="2550"/>
            <w:shd w:fill="D9EAF7"/>
            <w:vAlign w:val="center"/>
            <w:tcMar>
              <w:top w:w="90" w:type="dxa"/>
              <w:start w:w="90" w:type="dxa"/>
              <w:bottom w:w="90" w:type="dxa"/>
              <w:end w:w="90" w:type="dxa"/>
            </w:tcMar>
          </w:tcPr>
          <w:p>
            <w:r>
              <w:rPr>
                <w:b/>
              </w:rPr>
              <w:t>Je suis capable de…</w:t>
            </w:r>
          </w:p>
        </w:tc>
        <w:tc>
          <w:tcPr>
            <w:tcW w:type="dxa" w:w="2550"/>
            <w:shd w:fill="D9EAF7"/>
            <w:vAlign w:val="center"/>
            <w:tcMar>
              <w:top w:w="90" w:type="dxa"/>
              <w:start w:w="90" w:type="dxa"/>
              <w:bottom w:w="90" w:type="dxa"/>
              <w:end w:w="90" w:type="dxa"/>
            </w:tcMar>
          </w:tcPr>
          <w:p>
            <w:r>
              <w:rPr>
                <w:b/>
              </w:rPr>
              <w:t>Oui</w:t>
            </w:r>
          </w:p>
        </w:tc>
        <w:tc>
          <w:tcPr>
            <w:tcW w:type="dxa" w:w="2550"/>
            <w:shd w:fill="D9EAF7"/>
            <w:vAlign w:val="center"/>
            <w:tcMar>
              <w:top w:w="90" w:type="dxa"/>
              <w:start w:w="90" w:type="dxa"/>
              <w:bottom w:w="90" w:type="dxa"/>
              <w:end w:w="90" w:type="dxa"/>
            </w:tcMar>
          </w:tcPr>
          <w:p>
            <w:r>
              <w:rPr>
                <w:b/>
              </w:rPr>
              <w:t>Partiellement</w:t>
            </w:r>
          </w:p>
        </w:tc>
        <w:tc>
          <w:tcPr>
            <w:tcW w:type="dxa" w:w="2550"/>
            <w:shd w:fill="D9EAF7"/>
            <w:vAlign w:val="center"/>
            <w:tcMar>
              <w:top w:w="90" w:type="dxa"/>
              <w:start w:w="90" w:type="dxa"/>
              <w:bottom w:w="90" w:type="dxa"/>
              <w:end w:w="90" w:type="dxa"/>
            </w:tcMar>
          </w:tcPr>
          <w:p>
            <w:r>
              <w:rPr>
                <w:b/>
              </w:rPr>
              <w:t>À renforcer</w:t>
            </w:r>
          </w:p>
        </w:tc>
      </w:tr>
      <w:tr>
        <w:tc>
          <w:tcPr>
            <w:tcW w:type="dxa" w:w="2550"/>
            <w:tcMar>
              <w:top w:w="90" w:type="dxa"/>
              <w:start w:w="90" w:type="dxa"/>
              <w:bottom w:w="90" w:type="dxa"/>
              <w:end w:w="90" w:type="dxa"/>
            </w:tcMar>
          </w:tcPr>
          <w:p>
            <w:r>
              <w:t>Analyser une structure organisationnelle et ses niveaux de responsabilité.</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r>
      <w:tr>
        <w:tc>
          <w:tcPr>
            <w:tcW w:type="dxa" w:w="2550"/>
            <w:tcMar>
              <w:top w:w="90" w:type="dxa"/>
              <w:start w:w="90" w:type="dxa"/>
              <w:bottom w:w="90" w:type="dxa"/>
              <w:end w:w="90" w:type="dxa"/>
            </w:tcMar>
          </w:tcPr>
          <w:p>
            <w:r>
              <w:t>Identifier les fonctions essentielles et les zones non couvertes.</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r>
      <w:tr>
        <w:tc>
          <w:tcPr>
            <w:tcW w:type="dxa" w:w="2550"/>
            <w:tcMar>
              <w:top w:w="90" w:type="dxa"/>
              <w:start w:w="90" w:type="dxa"/>
              <w:bottom w:w="90" w:type="dxa"/>
              <w:end w:w="90" w:type="dxa"/>
            </w:tcMar>
          </w:tcPr>
          <w:p>
            <w:r>
              <w:t>Distinguer liens hiérarchiques, fonctionnels et de coordination.</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r>
      <w:tr>
        <w:tc>
          <w:tcPr>
            <w:tcW w:type="dxa" w:w="2550"/>
            <w:tcMar>
              <w:top w:w="90" w:type="dxa"/>
              <w:start w:w="90" w:type="dxa"/>
              <w:bottom w:w="90" w:type="dxa"/>
              <w:end w:w="90" w:type="dxa"/>
            </w:tcMar>
          </w:tcPr>
          <w:p>
            <w:r>
              <w:t>Repérer doublons, chevauchements et vides organisationnels.</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r>
      <w:tr>
        <w:tc>
          <w:tcPr>
            <w:tcW w:type="dxa" w:w="2550"/>
            <w:tcMar>
              <w:top w:w="90" w:type="dxa"/>
              <w:start w:w="90" w:type="dxa"/>
              <w:bottom w:w="90" w:type="dxa"/>
              <w:end w:w="90" w:type="dxa"/>
            </w:tcMar>
          </w:tcPr>
          <w:p>
            <w:r>
              <w:t>Proposer des ajustements simples et argumentés.</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r>
    </w:tbl>
    <w:p/>
    <w:tbl>
      <w:tblPr>
        <w:tblW w:type="auto" w:w="0"/>
        <w:jc w:val="center"/>
        <w:tblLayout w:type="autofit"/>
        <w:tblLook w:firstColumn="1" w:firstRow="1" w:lastColumn="0" w:lastRow="0" w:noHBand="0" w:noVBand="1" w:val="04A0"/>
      </w:tblPr>
      <w:tblGrid>
        <w:gridCol w:w="10200"/>
      </w:tblGrid>
      <w:tr>
        <w:tc>
          <w:tcPr>
            <w:tcW w:type="dxa" w:w="10200"/>
            <w:shd w:fill="D9EAF7"/>
            <w:tcMar>
              <w:top w:w="90" w:type="dxa"/>
              <w:start w:w="90" w:type="dxa"/>
              <w:bottom w:w="90" w:type="dxa"/>
              <w:end w:w="90" w:type="dxa"/>
            </w:tcMar>
          </w:tcPr>
          <w:p>
            <w:r>
              <w:rPr>
                <w:b/>
              </w:rPr>
              <w:t>Message clé</w:t>
            </w:r>
          </w:p>
        </w:tc>
      </w:tr>
      <w:tr>
        <w:tc>
          <w:tcPr>
            <w:tcW w:type="dxa" w:w="10200"/>
            <w:tcMar>
              <w:top w:w="90" w:type="dxa"/>
              <w:start w:w="90" w:type="dxa"/>
              <w:bottom w:w="90" w:type="dxa"/>
              <w:end w:w="90" w:type="dxa"/>
            </w:tcMar>
          </w:tcPr>
          <w:p>
            <w:r>
              <w:t>Un organigramme utile ne montre pas seulement qui dépend de qui : il rend visibles les responsabilités, les interfaces et les mécanismes de coordination.</w:t>
            </w:r>
          </w:p>
        </w:tc>
      </w:tr>
    </w:tbl>
    <w:p/>
    <w:p>
      <w:pPr>
        <w:pStyle w:val="Heading1"/>
      </w:pPr>
      <w:r>
        <w:t>9. Plan d’action individuel</w:t>
      </w:r>
    </w:p>
    <w:tbl>
      <w:tblPr>
        <w:tblStyle w:val="TableGrid"/>
        <w:tblW w:type="auto" w:w="0"/>
        <w:jc w:val="center"/>
        <w:tblLook w:firstColumn="1" w:firstRow="1" w:lastColumn="0" w:lastRow="0" w:noHBand="0" w:noVBand="1" w:val="04A0"/>
      </w:tblPr>
      <w:tblGrid>
        <w:gridCol w:w="2550"/>
        <w:gridCol w:w="2550"/>
        <w:gridCol w:w="2550"/>
        <w:gridCol w:w="2550"/>
      </w:tblGrid>
      <w:tr>
        <w:trPr>
          <w:tblHeader w:val="true"/>
        </w:trPr>
        <w:tc>
          <w:tcPr>
            <w:tcW w:type="dxa" w:w="2550"/>
            <w:shd w:fill="D9EAF7"/>
            <w:vAlign w:val="center"/>
            <w:tcMar>
              <w:top w:w="90" w:type="dxa"/>
              <w:start w:w="90" w:type="dxa"/>
              <w:bottom w:w="90" w:type="dxa"/>
              <w:end w:w="90" w:type="dxa"/>
            </w:tcMar>
          </w:tcPr>
          <w:p>
            <w:r>
              <w:rPr>
                <w:b/>
              </w:rPr>
              <w:t>Action à engager</w:t>
            </w:r>
          </w:p>
        </w:tc>
        <w:tc>
          <w:tcPr>
            <w:tcW w:type="dxa" w:w="2550"/>
            <w:shd w:fill="D9EAF7"/>
            <w:vAlign w:val="center"/>
            <w:tcMar>
              <w:top w:w="90" w:type="dxa"/>
              <w:start w:w="90" w:type="dxa"/>
              <w:bottom w:w="90" w:type="dxa"/>
              <w:end w:w="90" w:type="dxa"/>
            </w:tcMar>
          </w:tcPr>
          <w:p>
            <w:r>
              <w:rPr>
                <w:b/>
              </w:rPr>
              <w:t>Responsable</w:t>
            </w:r>
          </w:p>
        </w:tc>
        <w:tc>
          <w:tcPr>
            <w:tcW w:type="dxa" w:w="2550"/>
            <w:shd w:fill="D9EAF7"/>
            <w:vAlign w:val="center"/>
            <w:tcMar>
              <w:top w:w="90" w:type="dxa"/>
              <w:start w:w="90" w:type="dxa"/>
              <w:bottom w:w="90" w:type="dxa"/>
              <w:end w:w="90" w:type="dxa"/>
            </w:tcMar>
          </w:tcPr>
          <w:p>
            <w:r>
              <w:rPr>
                <w:b/>
              </w:rPr>
              <w:t>Échéance</w:t>
            </w:r>
          </w:p>
        </w:tc>
        <w:tc>
          <w:tcPr>
            <w:tcW w:type="dxa" w:w="2550"/>
            <w:shd w:fill="D9EAF7"/>
            <w:vAlign w:val="center"/>
            <w:tcMar>
              <w:top w:w="90" w:type="dxa"/>
              <w:start w:w="90" w:type="dxa"/>
              <w:bottom w:w="90" w:type="dxa"/>
              <w:end w:w="90" w:type="dxa"/>
            </w:tcMar>
          </w:tcPr>
          <w:p>
            <w:r>
              <w:rPr>
                <w:b/>
              </w:rPr>
              <w:t>Indicateur de réussite</w:t>
            </w:r>
          </w:p>
        </w:tc>
      </w:tr>
      <w:tr>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r>
      <w:tr>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r>
      <w:tr>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r>
    </w:tbl>
    <w:p/>
    <w:p>
      <w:pPr>
        <w:pStyle w:val="Heading1"/>
      </w:pPr>
      <w:r>
        <w:t>10. Transition</w:t>
      </w:r>
    </w:p>
    <w:p>
      <w:r>
        <w:t>Une fois la structure clarifiée, il faut préciser ce que chaque acteur doit réellement faire, décider et rendre compte : c’est l’objet de la Séquence 2.</w:t>
      </w:r>
    </w:p>
    <w:sectPr w:rsidR="00FC693F" w:rsidRPr="0006063C" w:rsidSect="00034616">
      <w:headerReference w:type="default" r:id="rId9"/>
      <w:footerReference w:type="default" r:id="rId10"/>
      <w:pgSz w:w="12240" w:h="15840"/>
      <w:pgMar w:top="964"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Campus Virtuel AACHL • Module 2 — Organisation RH &amp; Procédures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sz w:val="16"/>
      </w:rPr>
      <w:t>AACHL — ACADÉMIE AFRICAINE DU CAPITAL HUMAIN &amp; DU LEADERSHIP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ptos Display" w:hAnsi="Aptos Display"/>
      <w:b/>
      <w:bCs/>
      <w:color w:val="1F4E79"/>
      <w:sz w:val="3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ptos Display" w:hAnsi="Aptos Display"/>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ptos Display" w:hAnsi="Aptos Display"/>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Aptos Display" w:hAnsi="Aptos Display"/>
      <w:b/>
      <w:color w:val="1F4E7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